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lang w:eastAsia="zh-CN"/>
        </w:rPr>
      </w:pPr>
      <w:bookmarkStart w:id="0" w:name="_Toc520106020"/>
      <w:bookmarkStart w:id="1" w:name="_Toc520555148"/>
      <w:bookmarkStart w:id="2" w:name="_Toc525657128"/>
      <w:bookmarkStart w:id="3" w:name="_Toc2932611"/>
      <w:bookmarkStart w:id="4" w:name="_Toc14420"/>
      <w:bookmarkStart w:id="38" w:name="_GoBack"/>
      <w:bookmarkEnd w:id="38"/>
      <w:r>
        <w:rPr>
          <w:rFonts w:hint="eastAsia" w:ascii="微软雅黑" w:hAnsi="微软雅黑" w:eastAsia="微软雅黑" w:cs="微软雅黑"/>
          <w:sz w:val="36"/>
          <w:szCs w:val="36"/>
        </w:rPr>
        <w:t>维普考试服务平台</w:t>
      </w:r>
      <w:bookmarkEnd w:id="0"/>
      <w:bookmarkEnd w:id="1"/>
      <w:bookmarkEnd w:id="2"/>
      <w:bookmarkEnd w:id="3"/>
      <w:r>
        <w:rPr>
          <w:rFonts w:hint="eastAsia" w:ascii="微软雅黑" w:hAnsi="微软雅黑" w:eastAsia="微软雅黑" w:cs="微软雅黑"/>
          <w:sz w:val="36"/>
          <w:szCs w:val="36"/>
        </w:rPr>
        <w:t>（VERS）</w:t>
      </w:r>
      <w:bookmarkEnd w:id="4"/>
      <w:r>
        <w:rPr>
          <w:rFonts w:hint="eastAsia" w:ascii="微软雅黑" w:hAnsi="微软雅黑" w:eastAsia="微软雅黑" w:cs="微软雅黑"/>
          <w:b/>
          <w:bCs/>
          <w:sz w:val="36"/>
          <w:szCs w:val="36"/>
          <w:lang w:val="en-US" w:eastAsia="zh-CN"/>
        </w:rPr>
        <w:t>介绍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p>
    <w:sdt>
      <w:sdtPr>
        <w:rPr>
          <w:rFonts w:hint="eastAsia" w:ascii="微软雅黑" w:hAnsi="微软雅黑" w:eastAsia="微软雅黑" w:cs="微软雅黑"/>
          <w:kern w:val="2"/>
          <w:sz w:val="21"/>
          <w:szCs w:val="22"/>
          <w:lang w:val="en-US" w:eastAsia="zh-CN" w:bidi="ar-SA"/>
        </w:rPr>
        <w:id w:val="147452580"/>
        <w15:color w:val="DBDBDB"/>
        <w:docPartObj>
          <w:docPartGallery w:val="Table of Contents"/>
          <w:docPartUnique/>
        </w:docPartObj>
      </w:sdtPr>
      <w:sdtEndPr>
        <w:rPr>
          <w:rFonts w:hint="eastAsia" w:asciiTheme="minorHAnsi" w:hAnsiTheme="minorHAnsi" w:eastAsiaTheme="minorEastAsia" w:cstheme="minorBidi"/>
          <w:kern w:val="2"/>
          <w:sz w:val="21"/>
          <w:szCs w:val="22"/>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exact"/>
            <w:ind w:left="0" w:leftChars="0" w:right="0" w:rightChars="0" w:firstLine="0" w:firstLineChars="0"/>
            <w:jc w:val="center"/>
            <w:textAlignment w:val="auto"/>
            <w:rPr>
              <w:rFonts w:hint="eastAsia" w:ascii="微软雅黑" w:hAnsi="微软雅黑" w:eastAsia="微软雅黑" w:cs="微软雅黑"/>
            </w:rPr>
          </w:pPr>
          <w:r>
            <w:rPr>
              <w:rFonts w:hint="eastAsia" w:ascii="微软雅黑" w:hAnsi="微软雅黑" w:eastAsia="微软雅黑" w:cs="微软雅黑"/>
              <w:kern w:val="2"/>
              <w:sz w:val="28"/>
              <w:szCs w:val="28"/>
              <w:lang w:val="en-US" w:eastAsia="zh-CN" w:bidi="ar-SA"/>
            </w:rPr>
            <w:t>目录</w:t>
          </w:r>
          <w:r>
            <w:rPr>
              <w:rFonts w:hint="eastAsia" w:ascii="微软雅黑" w:hAnsi="微软雅黑" w:eastAsia="微软雅黑" w:cs="微软雅黑"/>
              <w:lang w:eastAsia="zh-CN"/>
            </w:rPr>
            <w:fldChar w:fldCharType="begin"/>
          </w:r>
          <w:r>
            <w:rPr>
              <w:rFonts w:hint="eastAsia" w:ascii="微软雅黑" w:hAnsi="微软雅黑" w:eastAsia="微软雅黑" w:cs="微软雅黑"/>
              <w:lang w:eastAsia="zh-CN"/>
            </w:rPr>
            <w:instrText xml:space="preserve">TOC \o "1-3" \h \u </w:instrText>
          </w:r>
          <w:r>
            <w:rPr>
              <w:rFonts w:hint="eastAsia" w:ascii="微软雅黑" w:hAnsi="微软雅黑" w:eastAsia="微软雅黑" w:cs="微软雅黑"/>
              <w:lang w:eastAsia="zh-CN"/>
            </w:rPr>
            <w:fldChar w:fldCharType="separate"/>
          </w:r>
        </w:p>
        <w:p>
          <w:pPr>
            <w:pStyle w:val="7"/>
            <w:keepNext w:val="0"/>
            <w:keepLines w:val="0"/>
            <w:pageBreakBefore w:val="0"/>
            <w:widowControl w:val="0"/>
            <w:tabs>
              <w:tab w:val="right" w:leader="dot" w:pos="8306"/>
              <w:tab w:val="clear" w:pos="840"/>
              <w:tab w:val="clear" w:pos="829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lang w:eastAsia="zh-CN"/>
            </w:rPr>
            <w:fldChar w:fldCharType="begin"/>
          </w:r>
          <w:r>
            <w:rPr>
              <w:rFonts w:hint="eastAsia" w:ascii="微软雅黑" w:hAnsi="微软雅黑" w:eastAsia="微软雅黑" w:cs="微软雅黑"/>
              <w:color w:val="auto"/>
              <w:sz w:val="24"/>
              <w:szCs w:val="24"/>
              <w:lang w:eastAsia="zh-CN"/>
            </w:rPr>
            <w:instrText xml:space="preserve"> HYPERLINK \l _Toc427 </w:instrText>
          </w:r>
          <w:r>
            <w:rPr>
              <w:rFonts w:hint="eastAsia" w:ascii="微软雅黑" w:hAnsi="微软雅黑" w:eastAsia="微软雅黑" w:cs="微软雅黑"/>
              <w:color w:val="auto"/>
              <w:sz w:val="24"/>
              <w:szCs w:val="24"/>
              <w:lang w:eastAsia="zh-CN"/>
            </w:rPr>
            <w:fldChar w:fldCharType="separate"/>
          </w:r>
          <w:r>
            <w:rPr>
              <w:rFonts w:hint="eastAsia" w:ascii="微软雅黑" w:hAnsi="微软雅黑" w:eastAsia="微软雅黑" w:cs="微软雅黑"/>
              <w:color w:val="auto"/>
              <w:sz w:val="24"/>
              <w:szCs w:val="24"/>
              <w:lang w:eastAsia="zh-CN"/>
            </w:rPr>
            <w:t>一、</w:t>
          </w:r>
          <w:r>
            <w:rPr>
              <w:rFonts w:hint="eastAsia" w:ascii="微软雅黑" w:hAnsi="微软雅黑" w:eastAsia="微软雅黑" w:cs="微软雅黑"/>
              <w:color w:val="auto"/>
              <w:sz w:val="24"/>
              <w:szCs w:val="24"/>
            </w:rPr>
            <w:t>产品概述</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_Toc427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lang w:eastAsia="zh-CN"/>
            </w:rPr>
            <w:fldChar w:fldCharType="end"/>
          </w:r>
        </w:p>
        <w:p>
          <w:pPr>
            <w:pStyle w:val="7"/>
            <w:keepNext w:val="0"/>
            <w:keepLines w:val="0"/>
            <w:pageBreakBefore w:val="0"/>
            <w:widowControl w:val="0"/>
            <w:tabs>
              <w:tab w:val="right" w:leader="dot" w:pos="8306"/>
              <w:tab w:val="clear" w:pos="840"/>
              <w:tab w:val="clear" w:pos="829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lang w:eastAsia="zh-CN"/>
            </w:rPr>
            <w:fldChar w:fldCharType="begin"/>
          </w:r>
          <w:r>
            <w:rPr>
              <w:rFonts w:hint="eastAsia" w:ascii="微软雅黑" w:hAnsi="微软雅黑" w:eastAsia="微软雅黑" w:cs="微软雅黑"/>
              <w:color w:val="auto"/>
              <w:sz w:val="24"/>
              <w:szCs w:val="24"/>
              <w:lang w:eastAsia="zh-CN"/>
            </w:rPr>
            <w:instrText xml:space="preserve"> HYPERLINK \l _Toc31472 </w:instrText>
          </w:r>
          <w:r>
            <w:rPr>
              <w:rFonts w:hint="eastAsia" w:ascii="微软雅黑" w:hAnsi="微软雅黑" w:eastAsia="微软雅黑" w:cs="微软雅黑"/>
              <w:color w:val="auto"/>
              <w:sz w:val="24"/>
              <w:szCs w:val="24"/>
              <w:lang w:eastAsia="zh-CN"/>
            </w:rPr>
            <w:fldChar w:fldCharType="separate"/>
          </w:r>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产品架构</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lang w:eastAsia="zh-CN"/>
            </w:rPr>
            <w:fldChar w:fldCharType="end"/>
          </w:r>
        </w:p>
        <w:p>
          <w:pPr>
            <w:pStyle w:val="7"/>
            <w:keepNext w:val="0"/>
            <w:keepLines w:val="0"/>
            <w:pageBreakBefore w:val="0"/>
            <w:widowControl w:val="0"/>
            <w:tabs>
              <w:tab w:val="right" w:leader="dot" w:pos="8306"/>
              <w:tab w:val="clear" w:pos="840"/>
              <w:tab w:val="clear" w:pos="829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lang w:eastAsia="zh-CN"/>
            </w:rPr>
            <w:fldChar w:fldCharType="begin"/>
          </w:r>
          <w:r>
            <w:rPr>
              <w:rFonts w:hint="eastAsia" w:ascii="微软雅黑" w:hAnsi="微软雅黑" w:eastAsia="微软雅黑" w:cs="微软雅黑"/>
              <w:color w:val="auto"/>
              <w:sz w:val="24"/>
              <w:szCs w:val="24"/>
              <w:lang w:eastAsia="zh-CN"/>
            </w:rPr>
            <w:instrText xml:space="preserve"> HYPERLINK \l _Toc30196 </w:instrText>
          </w:r>
          <w:r>
            <w:rPr>
              <w:rFonts w:hint="eastAsia" w:ascii="微软雅黑" w:hAnsi="微软雅黑" w:eastAsia="微软雅黑" w:cs="微软雅黑"/>
              <w:color w:val="auto"/>
              <w:sz w:val="24"/>
              <w:szCs w:val="24"/>
              <w:lang w:eastAsia="zh-CN"/>
            </w:rPr>
            <w:fldChar w:fldCharType="separate"/>
          </w: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产品使用流程</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_Toc23649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1、 登录与注册</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_Toc16094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个人用户</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_Toc16779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机构用户</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_Toc14538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2、 职业资格模块</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_Toc7214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题库练习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PAGEREF _Toc7214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2</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_Toc461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在线模考</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_Toc8184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专项练习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_Toc7435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随机组卷</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_Toc4360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3、 高教题库模块</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_Toc23972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lang w:eastAsia="zh-CN"/>
            </w:rPr>
            <w:t>试</w:t>
          </w:r>
          <w:r>
            <w:rPr>
              <w:rFonts w:hint="eastAsia" w:ascii="微软雅黑" w:hAnsi="微软雅黑" w:eastAsia="微软雅黑" w:cs="微软雅黑"/>
              <w:sz w:val="21"/>
              <w:szCs w:val="21"/>
            </w:rPr>
            <w:t>题库功能</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_Toc32650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试卷库功能</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_Toc15959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章节练习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_Toc8548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专项练习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_Toc13073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rPr>
            <w:t>4、 移动应用模块</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_Toc16899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维普</w:t>
          </w:r>
          <w:r>
            <w:rPr>
              <w:rFonts w:hint="eastAsia" w:ascii="微软雅黑" w:hAnsi="微软雅黑" w:eastAsia="微软雅黑" w:cs="微软雅黑"/>
              <w:sz w:val="21"/>
              <w:szCs w:val="21"/>
              <w:lang w:val="en-US" w:eastAsia="zh-CN"/>
            </w:rPr>
            <w:t>考试</w:t>
          </w:r>
          <w:r>
            <w:rPr>
              <w:rFonts w:hint="eastAsia" w:ascii="微软雅黑" w:hAnsi="微软雅黑" w:eastAsia="微软雅黑" w:cs="微软雅黑"/>
              <w:sz w:val="21"/>
              <w:szCs w:val="21"/>
            </w:rPr>
            <w:t>APP</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_Toc11250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维普掌上题库</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_Toc16837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lang w:val="en-US" w:eastAsia="zh-CN"/>
            </w:rPr>
            <w:t>5、</w:t>
          </w:r>
          <w:r>
            <w:rPr>
              <w:rFonts w:hint="eastAsia" w:ascii="微软雅黑" w:hAnsi="微软雅黑" w:eastAsia="微软雅黑" w:cs="微软雅黑"/>
              <w:bCs/>
              <w:sz w:val="21"/>
              <w:szCs w:val="21"/>
            </w:rPr>
            <w:t>个人中心</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_Toc32154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登录个人中心</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_Toc10654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做卷记录</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_Toc16569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错题库</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_Toc15584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收藏试卷</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lang w:eastAsia="zh-CN"/>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_Toc4360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bCs/>
              <w:sz w:val="21"/>
              <w:szCs w:val="21"/>
              <w:lang w:val="en-US" w:eastAsia="zh-CN"/>
            </w:rPr>
            <w:t>6</w:t>
          </w:r>
          <w:r>
            <w:rPr>
              <w:rFonts w:hint="eastAsia" w:ascii="微软雅黑" w:hAnsi="微软雅黑" w:eastAsia="微软雅黑" w:cs="微软雅黑"/>
              <w:bCs/>
              <w:sz w:val="21"/>
              <w:szCs w:val="21"/>
            </w:rPr>
            <w:t xml:space="preserve">、 </w:t>
          </w:r>
          <w:r>
            <w:rPr>
              <w:rFonts w:hint="eastAsia" w:ascii="微软雅黑" w:hAnsi="微软雅黑" w:eastAsia="微软雅黑" w:cs="微软雅黑"/>
              <w:bCs/>
              <w:sz w:val="21"/>
              <w:szCs w:val="21"/>
              <w:lang w:val="en-US" w:eastAsia="zh-CN"/>
            </w:rPr>
            <w:t>考研数据库</w:t>
          </w:r>
          <w:r>
            <w:rPr>
              <w:rFonts w:hint="eastAsia" w:ascii="微软雅黑" w:hAnsi="微软雅黑" w:eastAsia="微软雅黑" w:cs="微软雅黑"/>
              <w:bCs/>
              <w:sz w:val="21"/>
              <w:szCs w:val="21"/>
            </w:rPr>
            <w:t>模块</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_Toc23972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lang w:eastAsia="zh-CN"/>
            </w:rPr>
            <w:t>试</w:t>
          </w:r>
          <w:r>
            <w:rPr>
              <w:rFonts w:hint="eastAsia" w:ascii="微软雅黑" w:hAnsi="微软雅黑" w:eastAsia="微软雅黑" w:cs="微软雅黑"/>
              <w:sz w:val="21"/>
              <w:szCs w:val="21"/>
            </w:rPr>
            <w:t>题库功能</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fldChar w:fldCharType="end"/>
          </w:r>
          <w:r>
            <w:rPr>
              <w:rFonts w:hint="eastAsia" w:ascii="微软雅黑" w:hAnsi="微软雅黑" w:eastAsia="微软雅黑" w:cs="微软雅黑"/>
              <w:sz w:val="21"/>
              <w:szCs w:val="21"/>
              <w:lang w:val="en-US" w:eastAsia="zh-CN"/>
            </w:rPr>
            <w:t>0</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_Toc32650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rPr>
            <w:t>试卷库功能</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fldChar w:fldCharType="end"/>
          </w:r>
          <w:r>
            <w:rPr>
              <w:rFonts w:hint="eastAsia" w:ascii="微软雅黑" w:hAnsi="微软雅黑" w:eastAsia="微软雅黑" w:cs="微软雅黑"/>
              <w:sz w:val="21"/>
              <w:szCs w:val="21"/>
              <w:lang w:val="en-US" w:eastAsia="zh-CN"/>
            </w:rPr>
            <w:t>0</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_Toc15959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lang w:val="en-US" w:eastAsia="zh-CN"/>
            </w:rPr>
            <w:t>课程讲义</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lang w:eastAsia="zh-CN"/>
            </w:rPr>
            <w:fldChar w:fldCharType="end"/>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_Toc8548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lang w:val="en-US" w:eastAsia="zh-CN"/>
            </w:rPr>
            <w:t>学习笔记</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fldChar w:fldCharType="end"/>
          </w:r>
          <w:r>
            <w:rPr>
              <w:rFonts w:hint="eastAsia" w:ascii="微软雅黑" w:hAnsi="微软雅黑" w:eastAsia="微软雅黑" w:cs="微软雅黑"/>
              <w:sz w:val="21"/>
              <w:szCs w:val="21"/>
              <w:lang w:val="en-US" w:eastAsia="zh-CN"/>
            </w:rPr>
            <w:t>1</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lang w:eastAsia="zh-CN"/>
            </w:rPr>
            <w:fldChar w:fldCharType="end"/>
          </w:r>
          <w:r>
            <w:rPr>
              <w:rFonts w:hint="eastAsia" w:ascii="微软雅黑" w:hAnsi="微软雅黑" w:eastAsia="微软雅黑" w:cs="微软雅黑"/>
              <w:sz w:val="21"/>
              <w:szCs w:val="21"/>
              <w:lang w:eastAsia="zh-CN"/>
            </w:rPr>
            <w:fldChar w:fldCharType="begin"/>
          </w:r>
          <w:r>
            <w:rPr>
              <w:rFonts w:hint="eastAsia" w:ascii="微软雅黑" w:hAnsi="微软雅黑" w:eastAsia="微软雅黑" w:cs="微软雅黑"/>
              <w:sz w:val="21"/>
              <w:szCs w:val="21"/>
              <w:lang w:eastAsia="zh-CN"/>
            </w:rPr>
            <w:instrText xml:space="preserve"> HYPERLINK \l _Toc15959 </w:instrText>
          </w:r>
          <w:r>
            <w:rPr>
              <w:rFonts w:hint="eastAsia" w:ascii="微软雅黑" w:hAnsi="微软雅黑" w:eastAsia="微软雅黑" w:cs="微软雅黑"/>
              <w:sz w:val="21"/>
              <w:szCs w:val="21"/>
              <w:lang w:eastAsia="zh-CN"/>
            </w:rPr>
            <w:fldChar w:fldCharType="separate"/>
          </w:r>
          <w:r>
            <w:rPr>
              <w:rFonts w:hint="eastAsia" w:ascii="微软雅黑" w:hAnsi="微软雅黑" w:eastAsia="微软雅黑" w:cs="微软雅黑"/>
              <w:sz w:val="21"/>
              <w:szCs w:val="21"/>
              <w:lang w:val="en-US" w:eastAsia="zh-CN"/>
            </w:rPr>
            <w:t>个人中心</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fldChar w:fldCharType="end"/>
          </w:r>
          <w:r>
            <w:rPr>
              <w:rFonts w:hint="eastAsia" w:ascii="微软雅黑" w:hAnsi="微软雅黑" w:eastAsia="微软雅黑" w:cs="微软雅黑"/>
              <w:sz w:val="21"/>
              <w:szCs w:val="21"/>
              <w:lang w:val="en-US" w:eastAsia="zh-CN"/>
            </w:rPr>
            <w:t>2</w:t>
          </w:r>
        </w:p>
        <w:p>
          <w:pPr>
            <w:pStyle w:val="3"/>
            <w:keepNext w:val="0"/>
            <w:keepLines w:val="0"/>
            <w:pageBreakBefore w:val="0"/>
            <w:widowControl w:val="0"/>
            <w:tabs>
              <w:tab w:val="right" w:leader="dot" w:pos="8306"/>
            </w:tabs>
            <w:kinsoku/>
            <w:wordWrap/>
            <w:overflowPunct/>
            <w:topLinePunct w:val="0"/>
            <w:autoSpaceDE/>
            <w:autoSpaceDN/>
            <w:bidi w:val="0"/>
            <w:adjustRightInd/>
            <w:snapToGrid/>
            <w:spacing w:line="360" w:lineRule="exact"/>
            <w:ind w:left="0" w:leftChars="0" w:firstLine="420" w:firstLineChars="200"/>
            <w:textAlignment w:val="auto"/>
            <w:rPr>
              <w:rFonts w:hint="default" w:ascii="微软雅黑" w:hAnsi="微软雅黑" w:eastAsia="微软雅黑" w:cs="微软雅黑"/>
              <w:sz w:val="21"/>
              <w:szCs w:val="21"/>
              <w:lang w:val="en-U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2"/>
              <w:lang w:val="en-US" w:eastAsia="zh-CN" w:bidi="ar-SA"/>
            </w:rPr>
          </w:pPr>
        </w:p>
        <w:p>
          <w:pPr>
            <w:rPr>
              <w:rFonts w:hint="eastAsia" w:ascii="微软雅黑" w:hAnsi="微软雅黑" w:eastAsia="微软雅黑" w:cs="微软雅黑"/>
              <w:sz w:val="28"/>
              <w:szCs w:val="28"/>
              <w:lang w:eastAsia="zh-CN"/>
            </w:rPr>
            <w:sectPr>
              <w:pgSz w:w="11906" w:h="16838"/>
              <w:pgMar w:top="1440" w:right="1800" w:bottom="1440" w:left="1800" w:header="851" w:footer="992" w:gutter="0"/>
              <w:cols w:space="425" w:num="1"/>
              <w:docGrid w:type="lines" w:linePitch="312" w:charSpace="0"/>
            </w:sectPr>
          </w:pPr>
          <w:bookmarkStart w:id="5" w:name="_Toc427"/>
          <w:bookmarkStart w:id="6" w:name="_Toc2932613"/>
          <w:bookmarkStart w:id="7" w:name="_Toc525657130"/>
          <w:bookmarkStart w:id="8" w:name="_Toc520106021"/>
          <w:bookmarkStart w:id="9" w:name="_Toc520555149"/>
        </w:p>
      </w:sdtContent>
    </w:sdt>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outlineLvl w:val="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产品概述</w:t>
      </w:r>
      <w:bookmarkEnd w:id="5"/>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exact"/>
        <w:ind w:left="420"/>
        <w:jc w:val="both"/>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维普考试服务平台是我国最早的考试学习资源系统之一，自2009年</w:t>
      </w:r>
      <w:r>
        <w:rPr>
          <w:rFonts w:hint="eastAsia" w:ascii="微软雅黑" w:hAnsi="微软雅黑" w:eastAsia="微软雅黑" w:cs="微软雅黑"/>
          <w:highlight w:val="none"/>
          <w:lang w:eastAsia="zh-CN"/>
        </w:rPr>
        <w:t>推出</w:t>
      </w:r>
      <w:r>
        <w:rPr>
          <w:rFonts w:hint="eastAsia" w:ascii="微软雅黑" w:hAnsi="微软雅黑" w:eastAsia="微软雅黑" w:cs="微软雅黑"/>
          <w:highlight w:val="none"/>
        </w:rPr>
        <w:t>以来，平台一</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直致力于教学资源的数字化应用服务。经过十多年的发展，维普考试服务平台的业务布局已全面覆盖全国31个省市，资源版块涉及职业资格、高教题库、出版专题、医学专题等多元化领域。</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w:t>
      </w:r>
      <w:r>
        <w:rPr>
          <w:rFonts w:hint="eastAsia" w:ascii="微软雅黑" w:hAnsi="微软雅黑" w:eastAsia="微软雅黑" w:cs="微软雅黑"/>
          <w:b/>
          <w:bCs/>
          <w:highlight w:val="none"/>
          <w:lang w:eastAsia="zh-CN"/>
        </w:rPr>
        <w:t>考试</w:t>
      </w:r>
      <w:r>
        <w:rPr>
          <w:rFonts w:hint="eastAsia" w:ascii="微软雅黑" w:hAnsi="微软雅黑" w:eastAsia="微软雅黑" w:cs="微软雅黑"/>
          <w:b/>
          <w:bCs/>
          <w:highlight w:val="none"/>
        </w:rPr>
        <w:t>分类】</w:t>
      </w:r>
      <w:r>
        <w:rPr>
          <w:rFonts w:hint="eastAsia" w:ascii="微软雅黑" w:hAnsi="微软雅黑" w:eastAsia="微软雅黑" w:cs="微软雅黑"/>
          <w:highlight w:val="none"/>
          <w:lang w:eastAsia="zh-CN"/>
        </w:rPr>
        <w:t>维普考试</w:t>
      </w:r>
      <w:r>
        <w:rPr>
          <w:rFonts w:hint="eastAsia" w:ascii="微软雅黑" w:hAnsi="微软雅黑" w:eastAsia="微软雅黑" w:cs="微软雅黑"/>
          <w:highlight w:val="none"/>
        </w:rPr>
        <w:t>服务平台</w:t>
      </w:r>
      <w:r>
        <w:rPr>
          <w:rFonts w:hint="eastAsia" w:ascii="微软雅黑" w:hAnsi="微软雅黑" w:eastAsia="微软雅黑" w:cs="微软雅黑"/>
          <w:highlight w:val="none"/>
          <w:lang w:eastAsia="zh-CN"/>
        </w:rPr>
        <w:t>职业资格模块共有十</w:t>
      </w:r>
      <w:r>
        <w:rPr>
          <w:rFonts w:hint="eastAsia" w:ascii="微软雅黑" w:hAnsi="微软雅黑" w:eastAsia="微软雅黑" w:cs="微软雅黑"/>
          <w:highlight w:val="none"/>
          <w:lang w:val="en-US" w:eastAsia="zh-CN"/>
        </w:rPr>
        <w:t>一</w:t>
      </w:r>
      <w:r>
        <w:rPr>
          <w:rFonts w:hint="eastAsia" w:ascii="微软雅黑" w:hAnsi="微软雅黑" w:eastAsia="微软雅黑" w:cs="微软雅黑"/>
          <w:highlight w:val="none"/>
          <w:lang w:eastAsia="zh-CN"/>
        </w:rPr>
        <w:t>大考试分类——</w:t>
      </w:r>
      <w:r>
        <w:rPr>
          <w:rFonts w:hint="eastAsia" w:ascii="微软雅黑" w:hAnsi="微软雅黑" w:eastAsia="微软雅黑" w:cs="微软雅黑"/>
          <w:highlight w:val="none"/>
        </w:rPr>
        <w:t>公务员、工程、</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eastAsia="zh-CN"/>
        </w:rPr>
      </w:pPr>
      <w:r>
        <w:rPr>
          <w:rFonts w:hint="eastAsia" w:ascii="微软雅黑" w:hAnsi="微软雅黑" w:eastAsia="微软雅黑" w:cs="微软雅黑"/>
          <w:highlight w:val="none"/>
        </w:rPr>
        <w:t>语言、金融会计、计算机、医学、研究生、专业技术资格、职业技能资格、学历、党建</w:t>
      </w:r>
      <w:r>
        <w:rPr>
          <w:rFonts w:hint="eastAsia" w:ascii="微软雅黑" w:hAnsi="微软雅黑" w:eastAsia="微软雅黑" w:cs="微软雅黑"/>
          <w:highlight w:val="none"/>
          <w:lang w:eastAsia="zh-CN"/>
        </w:rPr>
        <w:t>思政，</w:t>
      </w:r>
      <w:r>
        <w:rPr>
          <w:rFonts w:hint="eastAsia" w:ascii="微软雅黑" w:hAnsi="微软雅黑" w:eastAsia="微软雅黑" w:cs="微软雅黑"/>
          <w:highlight w:val="none"/>
          <w:lang w:val="en-US" w:eastAsia="zh-CN"/>
        </w:rPr>
        <w:t>150个二级分类，近</w:t>
      </w:r>
      <w:r>
        <w:rPr>
          <w:rFonts w:hint="eastAsia" w:ascii="微软雅黑" w:hAnsi="微软雅黑" w:eastAsia="微软雅黑" w:cs="微软雅黑"/>
          <w:highlight w:val="none"/>
          <w:lang w:eastAsia="zh-CN"/>
        </w:rPr>
        <w:t>两千个考试科目，</w:t>
      </w:r>
      <w:r>
        <w:rPr>
          <w:rFonts w:hint="eastAsia" w:ascii="微软雅黑" w:hAnsi="微软雅黑" w:eastAsia="微软雅黑" w:cs="微软雅黑"/>
          <w:highlight w:val="none"/>
        </w:rPr>
        <w:t>能够满足全</w:t>
      </w:r>
      <w:r>
        <w:rPr>
          <w:rFonts w:hint="eastAsia" w:ascii="微软雅黑" w:hAnsi="微软雅黑" w:eastAsia="微软雅黑" w:cs="微软雅黑"/>
          <w:highlight w:val="none"/>
          <w:lang w:eastAsia="zh-CN"/>
        </w:rPr>
        <w:t>行业、</w:t>
      </w:r>
      <w:r>
        <w:rPr>
          <w:rFonts w:hint="eastAsia" w:ascii="微软雅黑" w:hAnsi="微软雅黑" w:eastAsia="微软雅黑" w:cs="微软雅黑"/>
          <w:highlight w:val="none"/>
        </w:rPr>
        <w:t>各领域用户的</w:t>
      </w:r>
      <w:r>
        <w:rPr>
          <w:rFonts w:hint="eastAsia" w:ascii="微软雅黑" w:hAnsi="微软雅黑" w:eastAsia="微软雅黑" w:cs="微软雅黑"/>
          <w:highlight w:val="none"/>
          <w:lang w:eastAsia="zh-CN"/>
        </w:rPr>
        <w:t>考试</w:t>
      </w:r>
      <w:r>
        <w:rPr>
          <w:rFonts w:hint="eastAsia" w:ascii="微软雅黑" w:hAnsi="微软雅黑" w:eastAsia="微软雅黑" w:cs="微软雅黑"/>
          <w:highlight w:val="none"/>
        </w:rPr>
        <w:t>服务需要</w:t>
      </w:r>
      <w:r>
        <w:rPr>
          <w:rFonts w:hint="eastAsia" w:ascii="微软雅黑" w:hAnsi="微软雅黑" w:eastAsia="微软雅黑" w:cs="微软雅黑"/>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42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 xml:space="preserve"> </w:t>
      </w:r>
      <w:r>
        <w:rPr>
          <w:rFonts w:hint="eastAsia" w:ascii="微软雅黑" w:hAnsi="微软雅黑" w:eastAsia="微软雅黑" w:cs="微软雅黑"/>
          <w:highlight w:val="none"/>
          <w:lang w:eastAsia="zh-CN"/>
        </w:rPr>
        <w:t>维普考试</w:t>
      </w:r>
      <w:r>
        <w:rPr>
          <w:rFonts w:hint="eastAsia" w:ascii="微软雅黑" w:hAnsi="微软雅黑" w:eastAsia="微软雅黑" w:cs="微软雅黑"/>
          <w:highlight w:val="none"/>
        </w:rPr>
        <w:t>服务平台</w:t>
      </w:r>
      <w:r>
        <w:rPr>
          <w:rFonts w:hint="eastAsia" w:ascii="微软雅黑" w:hAnsi="微软雅黑" w:eastAsia="微软雅黑" w:cs="微软雅黑"/>
          <w:highlight w:val="none"/>
          <w:lang w:eastAsia="zh-CN"/>
        </w:rPr>
        <w:t>高教题库模块</w:t>
      </w:r>
      <w:r>
        <w:rPr>
          <w:rFonts w:hint="eastAsia" w:ascii="微软雅黑" w:hAnsi="微软雅黑" w:eastAsia="微软雅黑" w:cs="微软雅黑"/>
          <w:highlight w:val="none"/>
        </w:rPr>
        <w:t>按照教育部学</w:t>
      </w:r>
      <w:r>
        <w:rPr>
          <w:rFonts w:hint="eastAsia" w:ascii="微软雅黑" w:hAnsi="微软雅黑" w:eastAsia="微软雅黑" w:cs="微软雅黑"/>
          <w:highlight w:val="none"/>
          <w:lang w:val="en-US" w:eastAsia="zh-CN"/>
        </w:rPr>
        <w:t>科分类组织了十二个学科大类考试资</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源，包括哲学、经济学、法学、教育学、文学、历史学、理学、工学、农学、医学、管理学、艺术学，为高校学生复习备考各科专业课程提供支持。</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highlight w:val="none"/>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w:t>
      </w:r>
      <w:r>
        <w:rPr>
          <w:rFonts w:hint="eastAsia" w:ascii="微软雅黑" w:hAnsi="微软雅黑" w:eastAsia="微软雅黑" w:cs="微软雅黑"/>
          <w:b/>
          <w:bCs/>
          <w:highlight w:val="none"/>
          <w:lang w:eastAsia="zh-CN"/>
        </w:rPr>
        <w:t>资源</w:t>
      </w:r>
      <w:r>
        <w:rPr>
          <w:rFonts w:hint="eastAsia" w:ascii="微软雅黑" w:hAnsi="微软雅黑" w:eastAsia="微软雅黑" w:cs="微软雅黑"/>
          <w:b/>
          <w:bCs/>
          <w:highlight w:val="none"/>
        </w:rPr>
        <w:t>规模】</w:t>
      </w:r>
      <w:r>
        <w:rPr>
          <w:rFonts w:hint="eastAsia" w:ascii="微软雅黑" w:hAnsi="微软雅黑" w:eastAsia="微软雅黑" w:cs="微软雅黑"/>
          <w:highlight w:val="none"/>
          <w:lang w:eastAsia="zh-CN"/>
        </w:rPr>
        <w:t>截止目前，</w:t>
      </w:r>
      <w:r>
        <w:rPr>
          <w:rFonts w:hint="eastAsia" w:ascii="微软雅黑" w:hAnsi="微软雅黑" w:eastAsia="微软雅黑" w:cs="微软雅黑"/>
          <w:highlight w:val="none"/>
        </w:rPr>
        <w:t>平台</w:t>
      </w:r>
      <w:r>
        <w:rPr>
          <w:rFonts w:hint="eastAsia" w:ascii="微软雅黑" w:hAnsi="微软雅黑" w:eastAsia="微软雅黑" w:cs="微软雅黑"/>
          <w:highlight w:val="none"/>
          <w:lang w:eastAsia="zh-CN"/>
        </w:rPr>
        <w:t>职业资格模块整理了</w:t>
      </w:r>
      <w:r>
        <w:rPr>
          <w:rFonts w:hint="eastAsia" w:ascii="微软雅黑" w:hAnsi="微软雅黑" w:eastAsia="微软雅黑" w:cs="微软雅黑"/>
          <w:highlight w:val="none"/>
        </w:rPr>
        <w:t>试卷总量</w:t>
      </w:r>
      <w:r>
        <w:rPr>
          <w:rFonts w:hint="eastAsia" w:ascii="微软雅黑" w:hAnsi="微软雅黑" w:eastAsia="微软雅黑" w:cs="微软雅黑"/>
          <w:b/>
          <w:bCs/>
          <w:sz w:val="22"/>
          <w:szCs w:val="24"/>
          <w:highlight w:val="none"/>
          <w:lang w:val="en-US" w:eastAsia="zh-CN"/>
        </w:rPr>
        <w:t>37</w:t>
      </w:r>
      <w:r>
        <w:rPr>
          <w:rFonts w:hint="eastAsia" w:ascii="微软雅黑" w:hAnsi="微软雅黑" w:eastAsia="微软雅黑" w:cs="微软雅黑"/>
          <w:highlight w:val="none"/>
        </w:rPr>
        <w:t>万余套，包含试题总量</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超</w:t>
      </w:r>
      <w:r>
        <w:rPr>
          <w:rFonts w:hint="eastAsia" w:ascii="微软雅黑" w:hAnsi="微软雅黑" w:eastAsia="微软雅黑" w:cs="微软雅黑"/>
          <w:b/>
          <w:bCs/>
          <w:sz w:val="22"/>
          <w:szCs w:val="24"/>
          <w:highlight w:val="none"/>
          <w:lang w:val="en-US" w:eastAsia="zh-CN"/>
        </w:rPr>
        <w:t>2000万</w:t>
      </w:r>
      <w:r>
        <w:rPr>
          <w:rFonts w:hint="eastAsia" w:ascii="微软雅黑" w:hAnsi="微软雅黑" w:eastAsia="微软雅黑" w:cs="微软雅黑"/>
          <w:highlight w:val="none"/>
        </w:rPr>
        <w:t>道。平台</w:t>
      </w:r>
      <w:r>
        <w:rPr>
          <w:rFonts w:hint="eastAsia" w:ascii="微软雅黑" w:hAnsi="微软雅黑" w:eastAsia="微软雅黑" w:cs="微软雅黑"/>
          <w:highlight w:val="none"/>
          <w:lang w:eastAsia="zh-CN"/>
        </w:rPr>
        <w:t>高教题库模块收录了数百门高教课程考试，共</w:t>
      </w:r>
      <w:r>
        <w:rPr>
          <w:rFonts w:hint="eastAsia" w:ascii="微软雅黑" w:hAnsi="微软雅黑" w:eastAsia="微软雅黑" w:cs="微软雅黑"/>
          <w:b/>
          <w:bCs/>
          <w:sz w:val="22"/>
          <w:szCs w:val="24"/>
          <w:highlight w:val="none"/>
          <w:lang w:val="en-US" w:eastAsia="zh-CN"/>
        </w:rPr>
        <w:t>4.4万</w:t>
      </w:r>
      <w:r>
        <w:rPr>
          <w:rFonts w:hint="eastAsia" w:ascii="微软雅黑" w:hAnsi="微软雅黑" w:eastAsia="微软雅黑" w:cs="微软雅黑"/>
          <w:highlight w:val="none"/>
          <w:lang w:val="en-US" w:eastAsia="zh-CN"/>
        </w:rPr>
        <w:t>套试卷，</w:t>
      </w:r>
      <w:r>
        <w:rPr>
          <w:rFonts w:hint="eastAsia" w:ascii="微软雅黑" w:hAnsi="微软雅黑" w:eastAsia="微软雅黑" w:cs="微软雅黑"/>
          <w:b/>
          <w:bCs/>
          <w:sz w:val="22"/>
          <w:szCs w:val="24"/>
          <w:highlight w:val="none"/>
          <w:lang w:val="en-US" w:eastAsia="zh-CN"/>
        </w:rPr>
        <w:t>180万</w:t>
      </w:r>
      <w:r>
        <w:rPr>
          <w:rFonts w:hint="eastAsia" w:ascii="微软雅黑" w:hAnsi="微软雅黑" w:eastAsia="微软雅黑" w:cs="微软雅黑"/>
          <w:highlight w:val="none"/>
          <w:lang w:val="en-US" w:eastAsia="zh-CN"/>
        </w:rPr>
        <w:t>道试题。</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highlight w:val="none"/>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eastAsia="zh-CN"/>
        </w:rPr>
      </w:pPr>
      <w:r>
        <w:rPr>
          <w:rFonts w:hint="eastAsia" w:ascii="微软雅黑" w:hAnsi="微软雅黑" w:eastAsia="微软雅黑" w:cs="微软雅黑"/>
          <w:b/>
          <w:bCs/>
          <w:highlight w:val="none"/>
        </w:rPr>
        <w:t>【</w:t>
      </w:r>
      <w:r>
        <w:rPr>
          <w:rFonts w:hint="eastAsia" w:ascii="微软雅黑" w:hAnsi="微软雅黑" w:eastAsia="微软雅黑" w:cs="微软雅黑"/>
          <w:b/>
          <w:bCs/>
          <w:highlight w:val="none"/>
          <w:lang w:eastAsia="zh-CN"/>
        </w:rPr>
        <w:t>优势</w:t>
      </w:r>
      <w:r>
        <w:rPr>
          <w:rFonts w:hint="eastAsia" w:ascii="微软雅黑" w:hAnsi="微软雅黑" w:eastAsia="微软雅黑" w:cs="微软雅黑"/>
          <w:b/>
          <w:bCs/>
          <w:highlight w:val="none"/>
        </w:rPr>
        <w:t>资源】</w:t>
      </w:r>
      <w:r>
        <w:rPr>
          <w:rFonts w:hint="eastAsia" w:ascii="微软雅黑" w:hAnsi="微软雅黑" w:eastAsia="微软雅黑" w:cs="微软雅黑"/>
          <w:highlight w:val="none"/>
          <w:lang w:eastAsia="zh-CN"/>
        </w:rPr>
        <w:t>平台是业内唯一集职业资格题库资源与高教题库资源于一体的考试资源服</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eastAsia="zh-CN"/>
        </w:rPr>
      </w:pPr>
      <w:r>
        <w:rPr>
          <w:rFonts w:hint="eastAsia" w:ascii="微软雅黑" w:hAnsi="微软雅黑" w:eastAsia="微软雅黑" w:cs="微软雅黑"/>
          <w:highlight w:val="none"/>
          <w:lang w:eastAsia="zh-CN"/>
        </w:rPr>
        <w:t>务产品，职业资格类的职业技能1+X、专升本、住院医师规培、卫生专业技术资格、执业医师、小语种、三基考试题库、研究生类专业课资源、普通高校统一招生考试、成人考试等考试资源量均属同行领先。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highlight w:val="none"/>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eastAsia="zh-CN"/>
        </w:rPr>
      </w:pPr>
      <w:r>
        <w:rPr>
          <w:rFonts w:hint="eastAsia" w:ascii="微软雅黑" w:hAnsi="微软雅黑" w:eastAsia="微软雅黑" w:cs="微软雅黑"/>
          <w:b/>
          <w:bCs/>
          <w:highlight w:val="none"/>
        </w:rPr>
        <w:t>【</w:t>
      </w:r>
      <w:r>
        <w:rPr>
          <w:rFonts w:hint="eastAsia" w:ascii="微软雅黑" w:hAnsi="微软雅黑" w:eastAsia="微软雅黑" w:cs="微软雅黑"/>
          <w:b/>
          <w:bCs/>
          <w:highlight w:val="none"/>
          <w:lang w:eastAsia="zh-CN"/>
        </w:rPr>
        <w:t>应用功能</w:t>
      </w:r>
      <w:r>
        <w:rPr>
          <w:rFonts w:hint="eastAsia" w:ascii="微软雅黑" w:hAnsi="微软雅黑" w:eastAsia="微软雅黑" w:cs="微软雅黑"/>
          <w:b/>
          <w:bCs/>
          <w:highlight w:val="none"/>
        </w:rPr>
        <w:t>】</w:t>
      </w:r>
      <w:r>
        <w:rPr>
          <w:rFonts w:hint="eastAsia" w:ascii="微软雅黑" w:hAnsi="微软雅黑" w:eastAsia="微软雅黑" w:cs="微软雅黑"/>
          <w:highlight w:val="none"/>
        </w:rPr>
        <w:t xml:space="preserve"> 平台提供</w:t>
      </w:r>
      <w:r>
        <w:rPr>
          <w:rFonts w:hint="eastAsia" w:ascii="微软雅黑" w:hAnsi="微软雅黑" w:eastAsia="微软雅黑" w:cs="微软雅黑"/>
          <w:highlight w:val="none"/>
          <w:lang w:eastAsia="zh-CN"/>
        </w:rPr>
        <w:t>分类浏览、搜索试题试卷、收藏试题试卷、</w:t>
      </w:r>
      <w:r>
        <w:rPr>
          <w:rFonts w:hint="eastAsia" w:ascii="微软雅黑" w:hAnsi="微软雅黑" w:eastAsia="微软雅黑" w:cs="微软雅黑"/>
          <w:highlight w:val="none"/>
          <w:lang w:val="en-US" w:eastAsia="zh-CN"/>
        </w:rPr>
        <w:t>单题练习</w:t>
      </w:r>
      <w:r>
        <w:rPr>
          <w:rFonts w:hint="eastAsia" w:ascii="微软雅黑" w:hAnsi="微软雅黑" w:eastAsia="微软雅黑" w:cs="微软雅黑"/>
          <w:highlight w:val="none"/>
        </w:rPr>
        <w:t>、</w:t>
      </w:r>
      <w:r>
        <w:rPr>
          <w:rFonts w:hint="eastAsia" w:ascii="微软雅黑" w:hAnsi="微软雅黑" w:eastAsia="微软雅黑" w:cs="微软雅黑"/>
          <w:highlight w:val="none"/>
          <w:lang w:eastAsia="zh-CN"/>
        </w:rPr>
        <w:t>在线模</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eastAsia="zh-CN"/>
        </w:rPr>
      </w:pPr>
      <w:r>
        <w:rPr>
          <w:rFonts w:hint="eastAsia" w:ascii="微软雅黑" w:hAnsi="微软雅黑" w:eastAsia="微软雅黑" w:cs="微软雅黑"/>
          <w:highlight w:val="none"/>
          <w:lang w:eastAsia="zh-CN"/>
        </w:rPr>
        <w:t>考、随机组卷、专项练习、错题练习、章节练习、每日一练、做卷记录、错题库、错题组卷、考试日历、考试大纲、下载试卷等，有效辅助用户的考试学习需求。</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highlight w:val="none"/>
        </w:rPr>
      </w:pPr>
      <w:r>
        <w:rPr>
          <w:rFonts w:hint="eastAsia" w:ascii="微软雅黑" w:hAnsi="微软雅黑" w:eastAsia="微软雅黑" w:cs="微软雅黑"/>
          <w:highlight w:val="none"/>
          <w:lang w:val="en-US" w:eastAsia="zh-CN"/>
        </w:rPr>
        <w:t>机构用户成员下载“维普考试APP”，关联本机构权限，即可不限IP使用考试资源，随时随地备考学习。同时”维普掌上题库“可嵌入微信公众号。</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highlight w:val="none"/>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【更新周期】</w:t>
      </w:r>
      <w:r>
        <w:rPr>
          <w:rFonts w:hint="eastAsia" w:ascii="微软雅黑" w:hAnsi="微软雅黑" w:eastAsia="微软雅黑" w:cs="微软雅黑"/>
          <w:highlight w:val="none"/>
        </w:rPr>
        <w:t>中心网站实现</w:t>
      </w:r>
      <w:r>
        <w:rPr>
          <w:rFonts w:hint="eastAsia" w:ascii="微软雅黑" w:hAnsi="微软雅黑" w:eastAsia="微软雅黑" w:cs="微软雅黑"/>
          <w:highlight w:val="none"/>
          <w:lang w:eastAsia="zh-CN"/>
        </w:rPr>
        <w:t>月</w:t>
      </w:r>
      <w:r>
        <w:rPr>
          <w:rFonts w:hint="eastAsia" w:ascii="微软雅黑" w:hAnsi="微软雅黑" w:eastAsia="微软雅黑" w:cs="微软雅黑"/>
          <w:highlight w:val="none"/>
        </w:rPr>
        <w:t>更新。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outlineLvl w:val="0"/>
        <w:rPr>
          <w:rFonts w:hint="eastAsia" w:ascii="黑体" w:hAnsi="黑体" w:eastAsia="黑体" w:cs="黑体"/>
          <w:sz w:val="28"/>
          <w:szCs w:val="28"/>
          <w:highlight w:val="none"/>
        </w:rPr>
      </w:pPr>
      <w:bookmarkStart w:id="10" w:name="_Toc525657131"/>
      <w:bookmarkStart w:id="11" w:name="_Toc2932614"/>
      <w:bookmarkStart w:id="12" w:name="_Toc31472"/>
      <w:bookmarkStart w:id="13" w:name="_Toc520555150"/>
      <w:bookmarkStart w:id="14" w:name="_Toc520106022"/>
      <w:r>
        <w:rPr>
          <w:rFonts w:hint="eastAsia" w:ascii="黑体" w:hAnsi="黑体" w:eastAsia="黑体" w:cs="黑体"/>
          <w:sz w:val="28"/>
          <w:szCs w:val="28"/>
          <w:highlight w:val="none"/>
          <w:lang w:eastAsia="zh-CN"/>
        </w:rPr>
        <w:t>二、</w:t>
      </w:r>
      <w:r>
        <w:rPr>
          <w:rFonts w:hint="eastAsia" w:ascii="黑体" w:hAnsi="黑体" w:eastAsia="黑体" w:cs="黑体"/>
          <w:sz w:val="28"/>
          <w:szCs w:val="28"/>
          <w:highlight w:val="none"/>
        </w:rPr>
        <w:t>产品架构</w:t>
      </w:r>
      <w:bookmarkEnd w:id="10"/>
      <w:bookmarkEnd w:id="11"/>
      <w:bookmarkEnd w:id="12"/>
    </w:p>
    <w:p>
      <w:pPr>
        <w:pStyle w:val="15"/>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71135" cy="2879725"/>
            <wp:effectExtent l="0" t="0" r="5715" b="15875"/>
            <wp:docPr id="2" name="图片 2" descr="维普考试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维普考试app"/>
                    <pic:cNvPicPr>
                      <a:picLocks noChangeAspect="1"/>
                    </pic:cNvPicPr>
                  </pic:nvPicPr>
                  <pic:blipFill>
                    <a:blip r:embed="rId5"/>
                    <a:stretch>
                      <a:fillRect/>
                    </a:stretch>
                  </pic:blipFill>
                  <pic:spPr>
                    <a:xfrm>
                      <a:off x="0" y="0"/>
                      <a:ext cx="5271135" cy="2879725"/>
                    </a:xfrm>
                    <a:prstGeom prst="rect">
                      <a:avLst/>
                    </a:prstGeom>
                  </pic:spPr>
                </pic:pic>
              </a:graphicData>
            </a:graphic>
          </wp:inline>
        </w:drawing>
      </w:r>
    </w:p>
    <w:p>
      <w:pPr>
        <w:pStyle w:val="15"/>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0"/>
        <w:rPr>
          <w:rFonts w:hint="eastAsia" w:ascii="微软雅黑" w:hAnsi="微软雅黑" w:eastAsia="微软雅黑" w:cs="微软雅黑"/>
          <w:sz w:val="28"/>
          <w:szCs w:val="28"/>
        </w:rPr>
      </w:pPr>
      <w:bookmarkStart w:id="15" w:name="_Toc525657132"/>
      <w:bookmarkStart w:id="16" w:name="_Toc2932615"/>
      <w:bookmarkStart w:id="17" w:name="_Toc30196"/>
      <w:r>
        <w:rPr>
          <w:rFonts w:hint="eastAsia" w:ascii="微软雅黑" w:hAnsi="微软雅黑" w:eastAsia="微软雅黑" w:cs="微软雅黑"/>
          <w:sz w:val="28"/>
          <w:szCs w:val="28"/>
          <w:lang w:eastAsia="zh-CN"/>
        </w:rPr>
        <w:t>三、</w:t>
      </w:r>
      <w:r>
        <w:rPr>
          <w:rFonts w:hint="eastAsia" w:ascii="微软雅黑" w:hAnsi="微软雅黑" w:eastAsia="微软雅黑" w:cs="微软雅黑"/>
          <w:sz w:val="28"/>
          <w:szCs w:val="28"/>
        </w:rPr>
        <w:t>产品使用流程</w:t>
      </w:r>
      <w:bookmarkEnd w:id="15"/>
      <w:bookmarkEnd w:id="16"/>
      <w:bookmarkEnd w:id="17"/>
    </w:p>
    <w:p>
      <w:pPr>
        <w:pStyle w:val="15"/>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Chars="0"/>
        <w:textAlignment w:val="auto"/>
        <w:outlineLvl w:val="1"/>
        <w:rPr>
          <w:rFonts w:hint="eastAsia" w:ascii="微软雅黑" w:hAnsi="微软雅黑" w:eastAsia="微软雅黑" w:cs="微软雅黑"/>
          <w:b/>
          <w:bCs/>
        </w:rPr>
      </w:pPr>
      <w:bookmarkStart w:id="18" w:name="_Toc23649"/>
      <w:r>
        <w:rPr>
          <w:rFonts w:hint="eastAsia" w:ascii="微软雅黑" w:hAnsi="微软雅黑" w:eastAsia="微软雅黑" w:cs="微软雅黑"/>
          <w:b/>
          <w:bCs/>
        </w:rPr>
        <w:t>登录与注册</w:t>
      </w:r>
      <w:bookmarkEnd w:id="18"/>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highlight w:val="none"/>
        </w:rPr>
      </w:pPr>
      <w:bookmarkStart w:id="19" w:name="_Toc16094"/>
      <w:r>
        <w:rPr>
          <w:rFonts w:hint="eastAsia" w:ascii="微软雅黑" w:hAnsi="微软雅黑" w:eastAsia="微软雅黑" w:cs="微软雅黑"/>
          <w:b/>
          <w:bCs/>
          <w:highlight w:val="none"/>
        </w:rPr>
        <w:t>①个人用户</w:t>
      </w:r>
      <w:bookmarkEnd w:id="19"/>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本站点支持个人用户注册后使用，允许查看部分资源；注册需用真实手机号接收验证码；注册后可通过维普</w:t>
      </w:r>
      <w:r>
        <w:rPr>
          <w:rFonts w:hint="eastAsia" w:ascii="微软雅黑" w:hAnsi="微软雅黑" w:eastAsia="微软雅黑" w:cs="微软雅黑"/>
          <w:highlight w:val="none"/>
          <w:lang w:val="en-US" w:eastAsia="zh-CN"/>
        </w:rPr>
        <w:t>考试</w:t>
      </w:r>
      <w:r>
        <w:rPr>
          <w:rFonts w:hint="eastAsia" w:ascii="微软雅黑" w:hAnsi="微软雅黑" w:eastAsia="微软雅黑" w:cs="微软雅黑"/>
          <w:highlight w:val="none"/>
        </w:rPr>
        <w:t>APP扫码绑定机构，从而享有机构相同的使用权限；</w:t>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0" w:name="_Toc16779"/>
      <w:r>
        <w:rPr>
          <w:rFonts w:hint="eastAsia" w:ascii="微软雅黑" w:hAnsi="微软雅黑" w:eastAsia="微软雅黑" w:cs="微软雅黑"/>
          <w:b/>
          <w:bCs/>
        </w:rPr>
        <w:t>②机构用户</w:t>
      </w:r>
      <w:bookmarkEnd w:id="20"/>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绑定了机构IP的用户，可直接进入使用界面，查看使用机构订购的全部资源；拥有机构权限的个人用户，也可用个人账号加正确的机构名称登录(限制IP的机构除外)，使用机构订购的资源。</w:t>
      </w:r>
    </w:p>
    <w:p>
      <w:pPr>
        <w:ind w:left="420"/>
        <w:rPr>
          <w:rFonts w:hint="eastAsia" w:ascii="Calibri" w:hAnsi="Calibri"/>
        </w:rPr>
      </w:pPr>
    </w:p>
    <w:p>
      <w:pPr>
        <w:pStyle w:val="15"/>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Chars="0"/>
        <w:textAlignment w:val="auto"/>
        <w:outlineLvl w:val="1"/>
        <w:rPr>
          <w:rFonts w:hint="eastAsia" w:ascii="微软雅黑" w:hAnsi="微软雅黑" w:eastAsia="微软雅黑" w:cs="微软雅黑"/>
          <w:b/>
          <w:bCs/>
        </w:rPr>
      </w:pPr>
      <w:bookmarkStart w:id="21" w:name="_Toc14538"/>
      <w:r>
        <w:rPr>
          <w:rFonts w:hint="eastAsia" w:ascii="微软雅黑" w:hAnsi="微软雅黑" w:eastAsia="微软雅黑" w:cs="微软雅黑"/>
          <w:b/>
          <w:bCs/>
        </w:rPr>
        <w:t>职业资格模块</w:t>
      </w:r>
      <w:bookmarkEnd w:id="21"/>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2" w:name="_Toc7214"/>
      <w:r>
        <w:rPr>
          <w:rFonts w:hint="eastAsia" w:ascii="微软雅黑" w:hAnsi="微软雅黑" w:eastAsia="微软雅黑" w:cs="微软雅黑"/>
          <w:b/>
          <w:bCs/>
        </w:rPr>
        <w:t>①题库练习</w:t>
      </w:r>
      <w:bookmarkEnd w:id="22"/>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首页职业资格模块下，点击任意一个二级分类，即可进入该分类下的题库列表功能；题库列表中，分类可细化可切换；可点击“进入题库练习”进行单题训练，客观题错题，系统可自动记入个人中心错题库以便反复训练；页面右侧可进行功能切换，使用该模块下的更多练题功能；</w:t>
      </w:r>
    </w:p>
    <w:p>
      <w:pPr>
        <w:jc w:val="center"/>
      </w:pPr>
      <w:r>
        <w:drawing>
          <wp:inline distT="0" distB="0" distL="0" distR="0">
            <wp:extent cx="5274310" cy="3578860"/>
            <wp:effectExtent l="0" t="0" r="2540" b="2540"/>
            <wp:docPr id="6" name="图片 6" descr="C:\Users\ADMINI~1\AppData\Local\Temp\SNAGHTML8a1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SNAGHTML8a1a4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578904"/>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3" w:name="_Toc461"/>
      <w:r>
        <w:rPr>
          <w:rFonts w:hint="eastAsia" w:ascii="微软雅黑" w:hAnsi="微软雅黑" w:eastAsia="微软雅黑" w:cs="微软雅黑"/>
          <w:b/>
          <w:bCs/>
        </w:rPr>
        <w:t>②在线模考</w:t>
      </w:r>
      <w:bookmarkEnd w:id="23"/>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职业资格模块下的“试卷库”即“在线模考”功能；分类导航条支持分类切换；支持对试卷类型和年份的筛选；“进入考试”功能即提供使用者进行一套试卷的模拟考试训练；</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272405" cy="2747010"/>
            <wp:effectExtent l="0" t="0" r="4445" b="15240"/>
            <wp:docPr id="3" name="图片 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6"/>
                    <pic:cNvPicPr>
                      <a:picLocks noChangeAspect="1"/>
                    </pic:cNvPicPr>
                  </pic:nvPicPr>
                  <pic:blipFill>
                    <a:blip r:embed="rId7"/>
                    <a:stretch>
                      <a:fillRect/>
                    </a:stretch>
                  </pic:blipFill>
                  <pic:spPr>
                    <a:xfrm>
                      <a:off x="0" y="0"/>
                      <a:ext cx="5272405" cy="2747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4" w:name="_Toc8184"/>
      <w:r>
        <w:rPr>
          <w:rFonts w:hint="eastAsia" w:ascii="微软雅黑" w:hAnsi="微软雅黑" w:eastAsia="微软雅黑" w:cs="微软雅黑"/>
          <w:b/>
          <w:bCs/>
        </w:rPr>
        <w:t>③专项练习</w:t>
      </w:r>
      <w:bookmarkEnd w:id="24"/>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专项练习提供使用者有针对性的选择某一类型试题进行集中训练；可以选择考试类别和科目、选择某一试题类型，输入有效的试题数量进行练习；</w:t>
      </w:r>
    </w:p>
    <w:p>
      <w:r>
        <w:drawing>
          <wp:inline distT="0" distB="0" distL="0" distR="0">
            <wp:extent cx="5274310" cy="23171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2317278"/>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5" w:name="_Toc7435"/>
      <w:r>
        <w:rPr>
          <w:rFonts w:hint="eastAsia" w:ascii="微软雅黑" w:hAnsi="微软雅黑" w:eastAsia="微软雅黑" w:cs="微软雅黑"/>
          <w:b/>
          <w:bCs/>
        </w:rPr>
        <w:t>④随机组卷</w:t>
      </w:r>
      <w:bookmarkEnd w:id="25"/>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随机组卷是选择考试类别后，选定系统相匹配的试卷模板，进行组卷练习功能；</w:t>
      </w:r>
    </w:p>
    <w:p>
      <w:r>
        <w:drawing>
          <wp:inline distT="0" distB="0" distL="0" distR="0">
            <wp:extent cx="5274310" cy="19424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1943070"/>
                    </a:xfrm>
                    <a:prstGeom prst="rect">
                      <a:avLst/>
                    </a:prstGeom>
                    <a:ln>
                      <a:noFill/>
                    </a:ln>
                  </pic:spPr>
                </pic:pic>
              </a:graphicData>
            </a:graphic>
          </wp:inline>
        </w:drawing>
      </w:r>
    </w:p>
    <w:p/>
    <w:p>
      <w:pPr>
        <w:pStyle w:val="15"/>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Chars="0"/>
        <w:textAlignment w:val="auto"/>
        <w:outlineLvl w:val="1"/>
        <w:rPr>
          <w:rFonts w:hint="eastAsia" w:ascii="微软雅黑" w:hAnsi="微软雅黑" w:eastAsia="微软雅黑" w:cs="微软雅黑"/>
          <w:b/>
          <w:bCs/>
        </w:rPr>
      </w:pPr>
      <w:bookmarkStart w:id="26" w:name="_Toc4360"/>
      <w:r>
        <w:rPr>
          <w:rFonts w:hint="eastAsia" w:ascii="微软雅黑" w:hAnsi="微软雅黑" w:eastAsia="微软雅黑" w:cs="微软雅黑"/>
          <w:b/>
          <w:bCs/>
        </w:rPr>
        <w:t>高教题库模块</w:t>
      </w:r>
      <w:bookmarkEnd w:id="26"/>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7" w:name="_Toc23972"/>
      <w:r>
        <w:rPr>
          <w:rFonts w:hint="eastAsia" w:ascii="微软雅黑" w:hAnsi="微软雅黑" w:eastAsia="微软雅黑" w:cs="微软雅黑"/>
          <w:b/>
          <w:bCs/>
        </w:rPr>
        <w:t>①</w:t>
      </w:r>
      <w:r>
        <w:rPr>
          <w:rFonts w:hint="eastAsia" w:ascii="微软雅黑" w:hAnsi="微软雅黑" w:eastAsia="微软雅黑" w:cs="微软雅黑"/>
          <w:b/>
          <w:bCs/>
          <w:lang w:eastAsia="zh-CN"/>
        </w:rPr>
        <w:t>试</w:t>
      </w:r>
      <w:r>
        <w:rPr>
          <w:rFonts w:hint="eastAsia" w:ascii="微软雅黑" w:hAnsi="微软雅黑" w:eastAsia="微软雅黑" w:cs="微软雅黑"/>
          <w:b/>
          <w:bCs/>
        </w:rPr>
        <w:t>题库功能</w:t>
      </w:r>
      <w:bookmarkEnd w:id="27"/>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高教题库模块首页下，选择某一具体分类，点击试题链接即可进入题库功能；题库列表下，学科分类可切换，可进一步对试题进行筛选，可点击“进入题库练习”进行单题训练，客观题错题系统将自动记录进错题库。</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outlineLvl w:val="9"/>
        <w:rPr>
          <w:rFonts w:hint="eastAsia" w:ascii="微软雅黑" w:hAnsi="微软雅黑" w:eastAsia="微软雅黑" w:cs="微软雅黑"/>
        </w:rPr>
      </w:pPr>
    </w:p>
    <w:p>
      <w:pPr>
        <w:pStyle w:val="15"/>
        <w:numPr>
          <w:ilvl w:val="0"/>
          <w:numId w:val="0"/>
        </w:numPr>
        <w:jc w:val="both"/>
        <w:outlineLvl w:val="9"/>
      </w:pPr>
      <w:r>
        <w:drawing>
          <wp:inline distT="0" distB="0" distL="114300" distR="114300">
            <wp:extent cx="5272405" cy="3286125"/>
            <wp:effectExtent l="0" t="0" r="4445" b="9525"/>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0"/>
                    <a:stretch>
                      <a:fillRect/>
                    </a:stretch>
                  </pic:blipFill>
                  <pic:spPr>
                    <a:xfrm>
                      <a:off x="0" y="0"/>
                      <a:ext cx="5272405" cy="3286125"/>
                    </a:xfrm>
                    <a:prstGeom prst="rect">
                      <a:avLst/>
                    </a:prstGeom>
                  </pic:spPr>
                </pic:pic>
              </a:graphicData>
            </a:graphic>
          </wp:inline>
        </w:drawing>
      </w:r>
      <w:r>
        <w:drawing>
          <wp:inline distT="0" distB="0" distL="0" distR="0">
            <wp:extent cx="5267325" cy="2425065"/>
            <wp:effectExtent l="0" t="0" r="952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7325" cy="242506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8" w:name="_Toc32650"/>
      <w:r>
        <w:rPr>
          <w:rFonts w:hint="eastAsia" w:ascii="微软雅黑" w:hAnsi="微软雅黑" w:eastAsia="微软雅黑" w:cs="微软雅黑"/>
          <w:b/>
          <w:bCs/>
        </w:rPr>
        <w:t>②试卷库功能</w:t>
      </w:r>
      <w:bookmarkEnd w:id="28"/>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高教题库的试卷库功能提供分类下所有试卷的展示，支持切换分类，支持对分类下试卷的进一步筛选，选中一套具体的试卷，点击“进入考试”可进行模拟考试训练。</w:t>
      </w:r>
    </w:p>
    <w:p>
      <w:r>
        <w:drawing>
          <wp:inline distT="0" distB="0" distL="114300" distR="114300">
            <wp:extent cx="5264150" cy="2124710"/>
            <wp:effectExtent l="0" t="0" r="12700" b="8890"/>
            <wp:docPr id="14" name="图片 1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8"/>
                    <pic:cNvPicPr>
                      <a:picLocks noChangeAspect="1"/>
                    </pic:cNvPicPr>
                  </pic:nvPicPr>
                  <pic:blipFill>
                    <a:blip r:embed="rId12"/>
                    <a:stretch>
                      <a:fillRect/>
                    </a:stretch>
                  </pic:blipFill>
                  <pic:spPr>
                    <a:xfrm>
                      <a:off x="0" y="0"/>
                      <a:ext cx="5264150" cy="2124710"/>
                    </a:xfrm>
                    <a:prstGeom prst="rect">
                      <a:avLst/>
                    </a:prstGeom>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29" w:name="_Toc15959"/>
      <w:r>
        <w:rPr>
          <w:rFonts w:hint="eastAsia" w:ascii="微软雅黑" w:hAnsi="微软雅黑" w:eastAsia="微软雅黑" w:cs="微软雅黑"/>
          <w:b/>
          <w:bCs/>
        </w:rPr>
        <w:t>③章节练习</w:t>
      </w:r>
      <w:bookmarkEnd w:id="29"/>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章节练习可以查看分类下更细化的试题内容，点击“开始做题”进入试题列表页，以便进行单题训练；</w:t>
      </w:r>
    </w:p>
    <w:p>
      <w:pPr>
        <w:jc w:val="center"/>
        <w:rPr>
          <w:rFonts w:hint="eastAsia"/>
        </w:rPr>
      </w:pPr>
      <w:r>
        <w:drawing>
          <wp:inline distT="0" distB="0" distL="0" distR="0">
            <wp:extent cx="5274310" cy="21456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2145741"/>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0" w:name="_Toc8548"/>
      <w:r>
        <w:rPr>
          <w:rFonts w:hint="eastAsia" w:ascii="微软雅黑" w:hAnsi="微软雅黑" w:eastAsia="微软雅黑" w:cs="微软雅黑"/>
          <w:b/>
          <w:bCs/>
        </w:rPr>
        <w:t>④专项练习</w:t>
      </w:r>
      <w:bookmarkEnd w:id="30"/>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高教题库提供类似于职业资格模块的“专项练习”功能。须选定具体的学科类别及试题样式，输入有效的试题数量，点击“开始练习”后使用其功能。</w:t>
      </w:r>
    </w:p>
    <w:p>
      <w:pPr>
        <w:jc w:val="center"/>
      </w:pPr>
      <w:r>
        <w:drawing>
          <wp:inline distT="0" distB="0" distL="0" distR="0">
            <wp:extent cx="5274310" cy="3263900"/>
            <wp:effectExtent l="0" t="0" r="254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3264090"/>
                    </a:xfrm>
                    <a:prstGeom prst="rect">
                      <a:avLst/>
                    </a:prstGeom>
                    <a:ln>
                      <a:noFill/>
                    </a:ln>
                  </pic:spPr>
                </pic:pic>
              </a:graphicData>
            </a:graphic>
          </wp:inline>
        </w:drawing>
      </w:r>
    </w:p>
    <w:p>
      <w:pPr>
        <w:rPr>
          <w:rFonts w:hint="eastAsia"/>
        </w:rPr>
      </w:pPr>
    </w:p>
    <w:p>
      <w:pPr>
        <w:pStyle w:val="15"/>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Chars="0"/>
        <w:textAlignment w:val="auto"/>
        <w:outlineLvl w:val="1"/>
        <w:rPr>
          <w:rFonts w:hint="eastAsia" w:ascii="微软雅黑" w:hAnsi="微软雅黑" w:eastAsia="微软雅黑" w:cs="微软雅黑"/>
          <w:b/>
          <w:bCs/>
        </w:rPr>
      </w:pPr>
      <w:bookmarkStart w:id="31" w:name="_Toc13073"/>
      <w:r>
        <w:rPr>
          <w:rFonts w:hint="eastAsia" w:ascii="微软雅黑" w:hAnsi="微软雅黑" w:eastAsia="微软雅黑" w:cs="微软雅黑"/>
          <w:b/>
          <w:bCs/>
        </w:rPr>
        <w:t>移动应用模块</w:t>
      </w:r>
      <w:bookmarkEnd w:id="31"/>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2" w:name="_Toc16899"/>
      <w:r>
        <w:rPr>
          <w:rFonts w:hint="eastAsia" w:ascii="微软雅黑" w:hAnsi="微软雅黑" w:eastAsia="微软雅黑" w:cs="微软雅黑"/>
          <w:b/>
          <w:bCs/>
        </w:rPr>
        <w:t>①维普</w:t>
      </w:r>
      <w:r>
        <w:rPr>
          <w:rFonts w:hint="eastAsia" w:ascii="微软雅黑" w:hAnsi="微软雅黑" w:eastAsia="微软雅黑" w:cs="微软雅黑"/>
          <w:b/>
          <w:bCs/>
          <w:lang w:eastAsia="zh-CN"/>
        </w:rPr>
        <w:t>考试</w:t>
      </w:r>
      <w:r>
        <w:rPr>
          <w:rFonts w:hint="eastAsia" w:ascii="微软雅黑" w:hAnsi="微软雅黑" w:eastAsia="微软雅黑" w:cs="微软雅黑"/>
          <w:b/>
          <w:bCs/>
        </w:rPr>
        <w:t>APP</w:t>
      </w:r>
      <w:bookmarkEnd w:id="32"/>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color w:val="333333"/>
          <w:kern w:val="0"/>
          <w:szCs w:val="21"/>
        </w:rPr>
      </w:pPr>
      <w:r>
        <w:rPr>
          <w:rFonts w:hint="eastAsia" w:ascii="微软雅黑" w:hAnsi="微软雅黑" w:eastAsia="微软雅黑" w:cs="微软雅黑"/>
          <w:lang w:eastAsia="zh-CN"/>
        </w:rPr>
        <w:t>应用市场搜索</w:t>
      </w:r>
      <w:r>
        <w:rPr>
          <w:rFonts w:hint="eastAsia" w:ascii="微软雅黑" w:hAnsi="微软雅黑" w:eastAsia="微软雅黑" w:cs="微软雅黑"/>
        </w:rPr>
        <w:t>“维普</w:t>
      </w:r>
      <w:r>
        <w:rPr>
          <w:rFonts w:hint="eastAsia" w:ascii="微软雅黑" w:hAnsi="微软雅黑" w:eastAsia="微软雅黑" w:cs="微软雅黑"/>
          <w:lang w:eastAsia="zh-CN"/>
        </w:rPr>
        <w:t>考试</w:t>
      </w:r>
      <w:r>
        <w:rPr>
          <w:rFonts w:hint="eastAsia" w:ascii="微软雅黑" w:hAnsi="微软雅黑" w:eastAsia="微软雅黑" w:cs="微软雅黑"/>
        </w:rPr>
        <w:t>”</w:t>
      </w:r>
      <w:r>
        <w:rPr>
          <w:rFonts w:hint="eastAsia" w:ascii="微软雅黑" w:hAnsi="微软雅黑" w:eastAsia="微软雅黑" w:cs="微软雅黑"/>
          <w:lang w:eastAsia="zh-CN"/>
        </w:rPr>
        <w:t>，即可下载并</w:t>
      </w:r>
      <w:r>
        <w:rPr>
          <w:rFonts w:hint="eastAsia" w:ascii="微软雅黑" w:hAnsi="微软雅黑" w:eastAsia="微软雅黑" w:cs="微软雅黑"/>
        </w:rPr>
        <w:t>使用。APP支持个人用户注册，</w:t>
      </w:r>
      <w:r>
        <w:rPr>
          <w:rFonts w:hint="eastAsia" w:ascii="微软雅黑" w:hAnsi="微软雅黑" w:eastAsia="微软雅黑" w:cs="微软雅黑"/>
          <w:color w:val="333333"/>
          <w:kern w:val="0"/>
          <w:szCs w:val="21"/>
        </w:rPr>
        <w:t>注册成功的个人用户可以绑定有权限的机构，进而使用完整服务；绑定机构权限有两种途径：一是在机构的授权IP范围内直接绑定；二是扫描PC端机构登录成功后的二维码进行绑定；</w:t>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color w:val="333333"/>
          <w:kern w:val="0"/>
          <w:szCs w:val="21"/>
        </w:rPr>
      </w:pPr>
    </w:p>
    <w:p>
      <w:pPr>
        <w:ind w:right="-313" w:rightChars="-149"/>
        <w:rPr>
          <w:rFonts w:ascii="Calibri" w:hAnsi="Calibri"/>
        </w:rPr>
      </w:pPr>
      <w:r>
        <w:rPr>
          <w:highlight w:val="none"/>
        </w:rPr>
        <w:drawing>
          <wp:inline distT="0" distB="0" distL="114300" distR="114300">
            <wp:extent cx="1266190" cy="1510030"/>
            <wp:effectExtent l="9525" t="9525" r="19685" b="23495"/>
            <wp:docPr id="4" name="图片 4" descr="维普考试二维码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维普考试二维码新"/>
                    <pic:cNvPicPr>
                      <a:picLocks noChangeAspect="1"/>
                    </pic:cNvPicPr>
                  </pic:nvPicPr>
                  <pic:blipFill>
                    <a:blip r:embed="rId15"/>
                    <a:stretch>
                      <a:fillRect/>
                    </a:stretch>
                  </pic:blipFill>
                  <pic:spPr>
                    <a:xfrm>
                      <a:off x="0" y="0"/>
                      <a:ext cx="1266190" cy="1510030"/>
                    </a:xfrm>
                    <a:prstGeom prst="rect">
                      <a:avLst/>
                    </a:prstGeom>
                    <a:ln>
                      <a:solidFill>
                        <a:schemeClr val="tx1">
                          <a:lumMod val="50000"/>
                          <a:lumOff val="50000"/>
                        </a:schemeClr>
                      </a:solidFill>
                    </a:ln>
                  </pic:spPr>
                </pic:pic>
              </a:graphicData>
            </a:graphic>
          </wp:inline>
        </w:drawing>
      </w:r>
      <w:r>
        <w:rPr>
          <w:highlight w:val="none"/>
        </w:rPr>
        <w:drawing>
          <wp:inline distT="0" distB="0" distL="114300" distR="114300">
            <wp:extent cx="1367790" cy="2879725"/>
            <wp:effectExtent l="9525" t="9525" r="13335" b="25400"/>
            <wp:docPr id="17"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内容占位符 6"/>
                    <pic:cNvPicPr>
                      <a:picLocks noChangeAspect="1"/>
                    </pic:cNvPicPr>
                  </pic:nvPicPr>
                  <pic:blipFill>
                    <a:blip r:embed="rId16"/>
                    <a:srcRect t="371"/>
                    <a:stretch>
                      <a:fillRect/>
                    </a:stretch>
                  </pic:blipFill>
                  <pic:spPr>
                    <a:xfrm>
                      <a:off x="0" y="0"/>
                      <a:ext cx="1367790" cy="2879725"/>
                    </a:xfrm>
                    <a:prstGeom prst="rect">
                      <a:avLst/>
                    </a:prstGeom>
                    <a:ln>
                      <a:solidFill>
                        <a:schemeClr val="tx1">
                          <a:lumMod val="50000"/>
                          <a:lumOff val="50000"/>
                        </a:schemeClr>
                      </a:solidFill>
                    </a:ln>
                    <a:effectLst/>
                  </pic:spPr>
                </pic:pic>
              </a:graphicData>
            </a:graphic>
          </wp:inline>
        </w:drawing>
      </w:r>
      <w:r>
        <w:drawing>
          <wp:inline distT="0" distB="0" distL="114300" distR="114300">
            <wp:extent cx="2736215" cy="2880360"/>
            <wp:effectExtent l="9525" t="9525" r="16510" b="24765"/>
            <wp:docPr id="18" name="图片 18" descr="考典绑定说明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考典绑定说明图1"/>
                    <pic:cNvPicPr>
                      <a:picLocks noChangeAspect="1"/>
                    </pic:cNvPicPr>
                  </pic:nvPicPr>
                  <pic:blipFill>
                    <a:blip r:embed="rId17"/>
                    <a:stretch>
                      <a:fillRect/>
                    </a:stretch>
                  </pic:blipFill>
                  <pic:spPr>
                    <a:xfrm>
                      <a:off x="0" y="0"/>
                      <a:ext cx="2736215" cy="2880360"/>
                    </a:xfrm>
                    <a:prstGeom prst="rect">
                      <a:avLst/>
                    </a:prstGeom>
                    <a:ln>
                      <a:solidFill>
                        <a:schemeClr val="tx1">
                          <a:lumMod val="50000"/>
                          <a:lumOff val="50000"/>
                        </a:schemeClr>
                      </a:solidFill>
                    </a:ln>
                  </pic:spPr>
                </pic:pic>
              </a:graphicData>
            </a:graphic>
          </wp:inline>
        </w:drawing>
      </w:r>
    </w:p>
    <w:p>
      <w:pPr>
        <w:pStyle w:val="15"/>
        <w:numPr>
          <w:ilvl w:val="0"/>
          <w:numId w:val="0"/>
        </w:numPr>
        <w:ind w:right="-512" w:rightChars="-244"/>
        <w:outlineLvl w:val="9"/>
        <w:rPr>
          <w:rFonts w:ascii="Calibri" w:hAnsi="Calibri"/>
        </w:rPr>
      </w:pP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3" w:name="_Toc11250"/>
      <w:r>
        <w:rPr>
          <w:rFonts w:hint="eastAsia" w:ascii="微软雅黑" w:hAnsi="微软雅黑" w:eastAsia="微软雅黑" w:cs="微软雅黑"/>
          <w:b/>
          <w:bCs/>
        </w:rPr>
        <w:t>②维普</w:t>
      </w:r>
      <w:r>
        <w:rPr>
          <w:rFonts w:hint="eastAsia" w:ascii="微软雅黑" w:hAnsi="微软雅黑" w:eastAsia="微软雅黑" w:cs="微软雅黑"/>
          <w:b/>
          <w:bCs/>
          <w:lang w:eastAsia="zh-CN"/>
        </w:rPr>
        <w:t>掌上</w:t>
      </w:r>
      <w:r>
        <w:rPr>
          <w:rFonts w:hint="eastAsia" w:ascii="微软雅黑" w:hAnsi="微软雅黑" w:eastAsia="微软雅黑" w:cs="微软雅黑"/>
          <w:b/>
          <w:bCs/>
        </w:rPr>
        <w:t>题库</w:t>
      </w:r>
      <w:bookmarkEnd w:id="33"/>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使用者通过机构提供的“维普</w:t>
      </w:r>
      <w:r>
        <w:rPr>
          <w:rFonts w:hint="eastAsia" w:ascii="微软雅黑" w:hAnsi="微软雅黑" w:eastAsia="微软雅黑" w:cs="微软雅黑"/>
          <w:lang w:eastAsia="zh-CN"/>
        </w:rPr>
        <w:t>掌上</w:t>
      </w:r>
      <w:r>
        <w:rPr>
          <w:rFonts w:hint="eastAsia" w:ascii="微软雅黑" w:hAnsi="微软雅黑" w:eastAsia="微软雅黑" w:cs="微软雅黑"/>
        </w:rPr>
        <w:t>题库”微信端入口，可以自动</w:t>
      </w:r>
      <w:r>
        <w:rPr>
          <w:rFonts w:hint="eastAsia" w:ascii="微软雅黑" w:hAnsi="微软雅黑" w:eastAsia="微软雅黑" w:cs="微软雅黑"/>
          <w:lang w:eastAsia="zh-CN"/>
        </w:rPr>
        <w:t>接入该功能</w:t>
      </w:r>
      <w:r>
        <w:rPr>
          <w:rFonts w:hint="eastAsia" w:ascii="微软雅黑" w:hAnsi="微软雅黑" w:eastAsia="微软雅黑" w:cs="微软雅黑"/>
        </w:rPr>
        <w:t>。本功能只针对机构用户开放，机构用户要想使用“每日练题”、“做题记录”、“错题库”等个性化功能，还需登录个人账号，系统提供机构内个人用户的注册功能，但不支持机构外的个人用户注册登录。</w:t>
      </w:r>
    </w:p>
    <w:p>
      <w:pPr>
        <w:jc w:val="center"/>
      </w:pPr>
      <w:r>
        <w:drawing>
          <wp:inline distT="0" distB="0" distL="0" distR="0">
            <wp:extent cx="5274310" cy="2715260"/>
            <wp:effectExtent l="9525" t="9525" r="12065" b="18415"/>
            <wp:docPr id="26" name="图片 26" descr="C:\Users\ADMINI~1\AppData\Local\Temp\SNAGHTML202a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SNAGHTML202aed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715695"/>
                    </a:xfrm>
                    <a:prstGeom prst="rect">
                      <a:avLst/>
                    </a:prstGeom>
                    <a:noFill/>
                    <a:ln>
                      <a:solidFill>
                        <a:schemeClr val="tx1"/>
                      </a:solidFill>
                    </a:ln>
                  </pic:spPr>
                </pic:pic>
              </a:graphicData>
            </a:graphic>
          </wp:inline>
        </w:drawing>
      </w:r>
    </w:p>
    <w:bookmarkEnd w:id="13"/>
    <w:bookmarkEnd w:id="14"/>
    <w:p>
      <w:pPr>
        <w:ind w:left="420"/>
      </w:pP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outlineLvl w:val="0"/>
        <w:rPr>
          <w:rFonts w:hint="eastAsia" w:ascii="微软雅黑" w:hAnsi="微软雅黑" w:eastAsia="微软雅黑" w:cs="微软雅黑"/>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1"/>
        <w:rPr>
          <w:rFonts w:hint="eastAsia" w:ascii="微软雅黑" w:hAnsi="微软雅黑" w:eastAsia="微软雅黑" w:cs="微软雅黑"/>
          <w:b/>
          <w:bCs/>
        </w:rPr>
      </w:pPr>
      <w:r>
        <w:rPr>
          <w:rFonts w:hint="eastAsia" w:ascii="微软雅黑" w:hAnsi="微软雅黑" w:eastAsia="微软雅黑" w:cs="微软雅黑"/>
          <w:b/>
          <w:bCs/>
          <w:lang w:val="en-US" w:eastAsia="zh-CN"/>
        </w:rPr>
        <w:t>5、</w:t>
      </w:r>
      <w:r>
        <w:rPr>
          <w:rFonts w:hint="eastAsia" w:ascii="微软雅黑" w:hAnsi="微软雅黑" w:eastAsia="微软雅黑" w:cs="微软雅黑"/>
          <w:b/>
          <w:bCs/>
        </w:rPr>
        <w:t>个人中心</w:t>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4" w:name="_Toc32154"/>
      <w:r>
        <w:rPr>
          <w:rFonts w:hint="eastAsia" w:ascii="微软雅黑" w:hAnsi="微软雅黑" w:eastAsia="微软雅黑" w:cs="微软雅黑"/>
          <w:b/>
          <w:bCs/>
        </w:rPr>
        <w:t>①登录个人中心</w:t>
      </w:r>
      <w:bookmarkEnd w:id="34"/>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机构绑定IP地址显示已登录状态下，要想使用个性化功能，还需点击“个人中心”用个人账号进行登录。个性化功能包括记录使用平台的全部做卷记录、错题记录，收藏的试卷、收藏的试题等；</w:t>
      </w:r>
    </w:p>
    <w:p>
      <w:r>
        <w:drawing>
          <wp:inline distT="0" distB="0" distL="0" distR="0">
            <wp:extent cx="5274310" cy="2232660"/>
            <wp:effectExtent l="0" t="0" r="2540" b="152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223303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5" w:name="_Toc10654"/>
      <w:r>
        <w:rPr>
          <w:rFonts w:hint="eastAsia" w:ascii="微软雅黑" w:hAnsi="微软雅黑" w:eastAsia="微软雅黑" w:cs="微软雅黑"/>
          <w:b/>
          <w:bCs/>
        </w:rPr>
        <w:t>②做卷记录</w:t>
      </w:r>
      <w:bookmarkEnd w:id="35"/>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做卷记录将记录个人用户登录状态后，所有使用试卷的情况；</w:t>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6" w:name="_Toc16569"/>
      <w:r>
        <w:rPr>
          <w:rFonts w:hint="eastAsia" w:ascii="微软雅黑" w:hAnsi="微软雅黑" w:eastAsia="微软雅黑" w:cs="微软雅黑"/>
          <w:b/>
          <w:bCs/>
        </w:rPr>
        <w:t>③错题库</w:t>
      </w:r>
      <w:bookmarkEnd w:id="36"/>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错题库将记录使用者进行单题训练或在线模考时答错的客观题；错题库还提供错题组卷功能；</w:t>
      </w:r>
    </w:p>
    <w:p>
      <w:r>
        <w:drawing>
          <wp:inline distT="0" distB="0" distL="0" distR="0">
            <wp:extent cx="5274310" cy="264795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74310" cy="2648143"/>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2"/>
        <w:rPr>
          <w:rFonts w:hint="eastAsia" w:ascii="微软雅黑" w:hAnsi="微软雅黑" w:eastAsia="微软雅黑" w:cs="微软雅黑"/>
          <w:b/>
          <w:bCs/>
        </w:rPr>
      </w:pPr>
      <w:bookmarkStart w:id="37" w:name="_Toc15584"/>
      <w:r>
        <w:rPr>
          <w:rFonts w:hint="eastAsia" w:ascii="微软雅黑" w:hAnsi="微软雅黑" w:eastAsia="微软雅黑" w:cs="微软雅黑"/>
          <w:b/>
          <w:bCs/>
        </w:rPr>
        <w:t>④收藏试卷</w:t>
      </w:r>
      <w:bookmarkEnd w:id="37"/>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rPr>
          <w:rFonts w:hint="eastAsia" w:ascii="微软雅黑" w:hAnsi="微软雅黑" w:eastAsia="微软雅黑" w:cs="微软雅黑"/>
        </w:rPr>
      </w:pPr>
      <w:r>
        <w:rPr>
          <w:rFonts w:hint="eastAsia" w:ascii="微软雅黑" w:hAnsi="微软雅黑" w:eastAsia="微软雅黑" w:cs="微软雅黑"/>
        </w:rPr>
        <w:t>收藏试卷将记录使用者全部收藏的试卷，并支持删除功能；</w:t>
      </w:r>
    </w:p>
    <w:p>
      <w:pPr>
        <w:rPr>
          <w:rFonts w:hint="eastAsia" w:ascii="微软雅黑" w:hAnsi="微软雅黑" w:eastAsia="微软雅黑" w:cs="微软雅黑"/>
          <w:b/>
          <w:bCs/>
        </w:rPr>
      </w:pPr>
      <w:r>
        <w:drawing>
          <wp:inline distT="0" distB="0" distL="0" distR="0">
            <wp:extent cx="5274310" cy="32746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274310" cy="3275078"/>
                    </a:xfrm>
                    <a:prstGeom prst="rect">
                      <a:avLst/>
                    </a:prstGeom>
                    <a:ln>
                      <a:noFill/>
                    </a:ln>
                  </pic:spPr>
                </pic:pic>
              </a:graphicData>
            </a:graphic>
          </wp:inline>
        </w:drawing>
      </w:r>
      <w:r>
        <w:rPr>
          <w:rFonts w:hint="eastAsia" w:ascii="微软雅黑" w:hAnsi="微软雅黑" w:eastAsia="微软雅黑" w:cs="微软雅黑"/>
          <w:b/>
          <w:bCs/>
        </w:rPr>
        <w:t>⑤收藏试题</w:t>
      </w:r>
    </w:p>
    <w:p>
      <w:pPr>
        <w:ind w:left="420"/>
        <w:rPr>
          <w:rFonts w:hint="eastAsia" w:ascii="微软雅黑" w:hAnsi="微软雅黑" w:eastAsia="微软雅黑" w:cs="微软雅黑"/>
        </w:rPr>
      </w:pPr>
      <w:r>
        <w:rPr>
          <w:rFonts w:hint="eastAsia" w:ascii="微软雅黑" w:hAnsi="微软雅黑" w:eastAsia="微软雅黑" w:cs="微软雅黑"/>
        </w:rPr>
        <w:t>收藏试题记录将记录使用者全部收藏的试题，并支持删除功能；</w:t>
      </w: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outlineLvl w:val="0"/>
        <w:rPr>
          <w:rFonts w:hint="eastAsia" w:ascii="微软雅黑" w:hAnsi="微软雅黑" w:eastAsia="微软雅黑" w:cs="微软雅黑"/>
          <w:kern w:val="2"/>
          <w:sz w:val="21"/>
          <w:szCs w:val="24"/>
          <w:lang w:val="en-US" w:eastAsia="zh-CN" w:bidi="ar-SA"/>
        </w:rPr>
      </w:pPr>
      <w:r>
        <w:drawing>
          <wp:anchor distT="0" distB="0" distL="0" distR="0" simplePos="0" relativeHeight="251659264" behindDoc="0" locked="0" layoutInCell="1" allowOverlap="1">
            <wp:simplePos x="0" y="0"/>
            <wp:positionH relativeFrom="column">
              <wp:posOffset>-133350</wp:posOffset>
            </wp:positionH>
            <wp:positionV relativeFrom="paragraph">
              <wp:posOffset>87630</wp:posOffset>
            </wp:positionV>
            <wp:extent cx="5274310" cy="2202180"/>
            <wp:effectExtent l="0" t="0" r="2540" b="762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tretch>
                      <a:fillRect/>
                    </a:stretch>
                  </pic:blipFill>
                  <pic:spPr>
                    <a:xfrm>
                      <a:off x="0" y="0"/>
                      <a:ext cx="5274310" cy="2202513"/>
                    </a:xfrm>
                    <a:prstGeom prst="rect">
                      <a:avLst/>
                    </a:prstGeom>
                    <a:ln>
                      <a:noFill/>
                    </a:ln>
                  </pic:spPr>
                </pic:pic>
              </a:graphicData>
            </a:graphic>
          </wp:anchor>
        </w:drawing>
      </w: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outlineLvl w:val="0"/>
        <w:rPr>
          <w:rFonts w:hint="eastAsia" w:ascii="微软雅黑" w:hAnsi="微软雅黑" w:eastAsia="微软雅黑" w:cs="微软雅黑"/>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420"/>
        <w:textAlignment w:val="auto"/>
        <w:outlineLvl w:val="1"/>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6、维普考研资源数据库介绍</w:t>
      </w: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outlineLvl w:val="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《维普考研资源数据库》提供考研人群复习全过程所需资料，并提供复习练习功能支持，是一个资源量较为全面、内容可信度高、学习练习方式多样的考研资源数据库。</w:t>
      </w: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outlineLvl w:val="0"/>
        <w:rPr>
          <w:rFonts w:hint="eastAsia" w:ascii="微软雅黑" w:hAnsi="微软雅黑" w:eastAsia="微软雅黑" w:cs="微软雅黑"/>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产品按照教育部十二个学科大类数百个课程类别，组织整理了各科考研资源，包括1500多个考研相关的课程讲义、超1400份考研学习笔记、4.5万余套考研试卷，包含试题185万余道，提供考研人员在线阅读、下载、单题练习和在线模考等考试练习功能。另外还收集整理了各校历年专业考研真题试卷（不含答案）供使用者参考使用。考研试卷、试题、课程讲义、学习笔记等内容的整理加工，将持续进行并按月更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en-US" w:eastAsia="zh-Hans" w:bidi="ar-SA"/>
        </w:rPr>
      </w:pPr>
      <w:r>
        <w:rPr>
          <w:rFonts w:hint="eastAsia" w:ascii="微软雅黑" w:hAnsi="微软雅黑" w:eastAsia="微软雅黑" w:cs="微软雅黑"/>
          <w:kern w:val="2"/>
          <w:sz w:val="21"/>
          <w:szCs w:val="24"/>
          <w:lang w:val="en-US" w:eastAsia="zh-Hans" w:bidi="ar-SA"/>
        </w:rPr>
        <w:t>第三步：进入</w:t>
      </w:r>
      <w:r>
        <w:rPr>
          <w:rFonts w:hint="default" w:ascii="微软雅黑" w:hAnsi="微软雅黑" w:eastAsia="微软雅黑" w:cs="微软雅黑"/>
          <w:kern w:val="2"/>
          <w:sz w:val="21"/>
          <w:szCs w:val="24"/>
          <w:lang w:val="en-US" w:eastAsia="zh-CN" w:bidi="ar-SA"/>
        </w:rPr>
        <w:t>”</w:t>
      </w:r>
      <w:r>
        <w:rPr>
          <w:rFonts w:hint="eastAsia" w:ascii="微软雅黑" w:hAnsi="微软雅黑" w:eastAsia="微软雅黑" w:cs="微软雅黑"/>
          <w:kern w:val="2"/>
          <w:sz w:val="21"/>
          <w:szCs w:val="24"/>
          <w:lang w:val="en-US" w:eastAsia="zh-Hans" w:bidi="ar-SA"/>
        </w:rPr>
        <w:t>维普考试服务平台</w:t>
      </w:r>
      <w:r>
        <w:rPr>
          <w:rFonts w:hint="default" w:ascii="微软雅黑" w:hAnsi="微软雅黑" w:eastAsia="微软雅黑" w:cs="微软雅黑"/>
          <w:kern w:val="2"/>
          <w:sz w:val="21"/>
          <w:szCs w:val="24"/>
          <w:lang w:val="en-US" w:eastAsia="zh-CN" w:bidi="ar-SA"/>
        </w:rPr>
        <w:t>”</w:t>
      </w:r>
      <w:r>
        <w:rPr>
          <w:rFonts w:hint="eastAsia" w:ascii="微软雅黑" w:hAnsi="微软雅黑" w:eastAsia="微软雅黑" w:cs="微软雅黑"/>
          <w:kern w:val="2"/>
          <w:sz w:val="21"/>
          <w:szCs w:val="24"/>
          <w:lang w:val="en-US" w:eastAsia="zh-Hans" w:bidi="ar-SA"/>
        </w:rPr>
        <w:t>首页，点击</w:t>
      </w:r>
      <w:r>
        <w:rPr>
          <w:rFonts w:hint="default" w:ascii="微软雅黑" w:hAnsi="微软雅黑" w:eastAsia="微软雅黑" w:cs="微软雅黑"/>
          <w:kern w:val="2"/>
          <w:sz w:val="21"/>
          <w:szCs w:val="24"/>
          <w:lang w:val="en-US" w:eastAsia="zh-CN" w:bidi="ar-SA"/>
        </w:rPr>
        <w:t>”</w:t>
      </w:r>
      <w:r>
        <w:rPr>
          <w:rFonts w:hint="eastAsia" w:ascii="微软雅黑" w:hAnsi="微软雅黑" w:eastAsia="微软雅黑" w:cs="微软雅黑"/>
          <w:kern w:val="2"/>
          <w:sz w:val="21"/>
          <w:szCs w:val="24"/>
          <w:lang w:val="en-US" w:eastAsia="zh-Hans" w:bidi="ar-SA"/>
        </w:rPr>
        <w:t>维普考研数据库</w:t>
      </w:r>
      <w:r>
        <w:rPr>
          <w:rFonts w:hint="default" w:ascii="微软雅黑" w:hAnsi="微软雅黑" w:eastAsia="微软雅黑" w:cs="微软雅黑"/>
          <w:kern w:val="2"/>
          <w:sz w:val="21"/>
          <w:szCs w:val="24"/>
          <w:lang w:val="en-US" w:eastAsia="zh-CN" w:bidi="ar-SA"/>
        </w:rPr>
        <w:t>”</w:t>
      </w:r>
      <w:r>
        <w:rPr>
          <w:rFonts w:hint="eastAsia" w:ascii="微软雅黑" w:hAnsi="微软雅黑" w:eastAsia="微软雅黑" w:cs="微软雅黑"/>
          <w:kern w:val="2"/>
          <w:sz w:val="21"/>
          <w:szCs w:val="24"/>
          <w:lang w:val="en-US" w:eastAsia="zh-Hans" w:bidi="ar-SA"/>
        </w:rPr>
        <w:t>就可以使用，如果需要使用收藏、错题库、关注等功能需要注册个人账号！</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266690" cy="2753995"/>
            <wp:effectExtent l="0" t="0" r="10160" b="8255"/>
            <wp:docPr id="23" name="图片 23" descr="1622514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2514143(1)"/>
                    <pic:cNvPicPr>
                      <a:picLocks noChangeAspect="1"/>
                    </pic:cNvPicPr>
                  </pic:nvPicPr>
                  <pic:blipFill>
                    <a:blip r:embed="rId23"/>
                    <a:stretch>
                      <a:fillRect/>
                    </a:stretch>
                  </pic:blipFill>
                  <pic:spPr>
                    <a:xfrm>
                      <a:off x="0" y="0"/>
                      <a:ext cx="5266690" cy="2753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Hans"/>
        </w:rPr>
      </w:pPr>
    </w:p>
    <w:p>
      <w:pPr>
        <w:shd w:val="clear" w:color="auto" w:fill="FFFFFF"/>
        <w:spacing w:line="360" w:lineRule="auto"/>
        <w:rPr>
          <w:rFonts w:ascii="Microsoft YaHei UI" w:hAnsi="Microsoft YaHei UI" w:eastAsia="Microsoft YaHei UI" w:cs="宋体"/>
          <w:color w:val="333333"/>
          <w:spacing w:val="8"/>
          <w:sz w:val="26"/>
          <w:szCs w:val="26"/>
        </w:rPr>
      </w:pPr>
      <w:r>
        <w:rPr>
          <w:rFonts w:hint="eastAsia" w:ascii="Microsoft YaHei UI" w:hAnsi="Microsoft YaHei UI" w:eastAsia="Microsoft YaHei UI" w:cs="宋体"/>
          <w:color w:val="333333"/>
          <w:spacing w:val="8"/>
          <w:sz w:val="26"/>
          <w:szCs w:val="26"/>
        </w:rPr>
        <w:t>◆◆</w:t>
      </w:r>
      <w:r>
        <w:rPr>
          <w:rFonts w:hint="eastAsia" w:ascii="Microsoft YaHei UI" w:hAnsi="Microsoft YaHei UI" w:eastAsia="Microsoft YaHei UI" w:cs="宋体"/>
          <w:color w:val="333333"/>
          <w:spacing w:val="8"/>
          <w:sz w:val="26"/>
          <w:szCs w:val="26"/>
          <w:lang w:val="en-US" w:eastAsia="zh-Hans"/>
        </w:rPr>
        <w:t>具体页面介绍如下</w:t>
      </w:r>
      <w:r>
        <w:rPr>
          <w:rFonts w:hint="eastAsia" w:ascii="Microsoft YaHei UI" w:hAnsi="Microsoft YaHei UI" w:eastAsia="Microsoft YaHei UI" w:cs="宋体"/>
          <w:color w:val="333333"/>
          <w:spacing w:val="8"/>
          <w:sz w:val="26"/>
          <w:szCs w:val="26"/>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01试题库</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lang w:val="en-US" w:eastAsia="zh-CN"/>
        </w:rPr>
      </w:pPr>
      <w:r>
        <w:rPr>
          <w:rFonts w:hint="eastAsia" w:ascii="微软雅黑" w:hAnsi="微软雅黑" w:eastAsia="微软雅黑" w:cs="微软雅黑"/>
          <w:lang w:val="en-US" w:eastAsia="zh-CN"/>
        </w:rPr>
        <w:t>试题库共包含185万余道考研试题，细化至教育部十二个学科大类下三级分类，支持单题查询浏览、题型筛选、单题练习、试题收藏等功能。</w:t>
      </w:r>
    </w:p>
    <w:p>
      <w:pPr>
        <w:jc w:val="left"/>
        <w:rPr>
          <w:rFonts w:hint="default"/>
          <w:lang w:val="en-US" w:eastAsia="zh-CN"/>
        </w:rPr>
      </w:pPr>
      <w:r>
        <w:rPr>
          <w:rFonts w:hint="default"/>
          <w:lang w:val="en-US" w:eastAsia="zh-CN"/>
        </w:rPr>
        <w:drawing>
          <wp:inline distT="0" distB="0" distL="114300" distR="114300">
            <wp:extent cx="5266690" cy="3404235"/>
            <wp:effectExtent l="0" t="0" r="10160" b="5715"/>
            <wp:docPr id="5" name="图片 5" descr="edd128c113817a4e83dd88b88b638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d128c113817a4e83dd88b88b6385b3"/>
                    <pic:cNvPicPr>
                      <a:picLocks noChangeAspect="1"/>
                    </pic:cNvPicPr>
                  </pic:nvPicPr>
                  <pic:blipFill>
                    <a:blip r:embed="rId24"/>
                    <a:stretch>
                      <a:fillRect/>
                    </a:stretch>
                  </pic:blipFill>
                  <pic:spPr>
                    <a:xfrm>
                      <a:off x="0" y="0"/>
                      <a:ext cx="5266690" cy="3404235"/>
                    </a:xfrm>
                    <a:prstGeom prst="rect">
                      <a:avLst/>
                    </a:prstGeom>
                  </pic:spPr>
                </pic:pic>
              </a:graphicData>
            </a:graphic>
          </wp:inline>
        </w:drawing>
      </w:r>
    </w:p>
    <w:p>
      <w:pPr>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02试卷库</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组织整理了4.5万余套考研试卷，可以细化至三级学科分类进行查询，并提供按年份、按学校筛选试卷，模拟自测等功能。</w:t>
      </w:r>
    </w:p>
    <w:p>
      <w:pPr>
        <w:jc w:val="left"/>
        <w:rPr>
          <w:rFonts w:hint="default"/>
          <w:lang w:val="en-US" w:eastAsia="zh-CN"/>
        </w:rPr>
      </w:pPr>
      <w:r>
        <w:rPr>
          <w:rFonts w:hint="default"/>
          <w:lang w:val="en-US" w:eastAsia="zh-CN"/>
        </w:rPr>
        <w:drawing>
          <wp:inline distT="0" distB="0" distL="114300" distR="114300">
            <wp:extent cx="5266690" cy="2809240"/>
            <wp:effectExtent l="0" t="0" r="10160" b="10160"/>
            <wp:docPr id="15" name="图片 15" descr="0bdfa38d10a9dd2939422b78a4f6f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dfa38d10a9dd2939422b78a4f6f470"/>
                    <pic:cNvPicPr>
                      <a:picLocks noChangeAspect="1"/>
                    </pic:cNvPicPr>
                  </pic:nvPicPr>
                  <pic:blipFill>
                    <a:blip r:embed="rId25"/>
                    <a:stretch>
                      <a:fillRect/>
                    </a:stretch>
                  </pic:blipFill>
                  <pic:spPr>
                    <a:xfrm>
                      <a:off x="0" y="0"/>
                      <a:ext cx="5266690" cy="2809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lang w:val="en-US" w:eastAsia="zh-CN"/>
        </w:rPr>
      </w:pPr>
      <w:r>
        <w:rPr>
          <w:rFonts w:hint="default" w:ascii="微软雅黑" w:hAnsi="微软雅黑" w:eastAsia="微软雅黑" w:cs="微软雅黑"/>
          <w:b/>
          <w:bCs/>
          <w:lang w:val="en-US" w:eastAsia="zh-CN"/>
        </w:rPr>
        <w:t>03课程讲义</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收集整理了各科考研课程讲义1</w:t>
      </w:r>
      <w:r>
        <w:rPr>
          <w:rFonts w:hint="eastAsia" w:ascii="微软雅黑" w:hAnsi="微软雅黑" w:eastAsia="微软雅黑" w:cs="微软雅黑"/>
          <w:lang w:val="en-US" w:eastAsia="zh-CN"/>
        </w:rPr>
        <w:t>5</w:t>
      </w:r>
      <w:r>
        <w:rPr>
          <w:rFonts w:hint="default" w:ascii="微软雅黑" w:hAnsi="微软雅黑" w:eastAsia="微软雅黑" w:cs="微软雅黑"/>
          <w:lang w:val="en-US" w:eastAsia="zh-CN"/>
        </w:rPr>
        <w:t>00多个，并按照章节、知识点内容进行全人工标引，提供标引内容的检索与查询，提供课程讲义分章节内容的在线阅读与下载，以帮助考研人群汇总考研资料，进行在线学习和复习。</w:t>
      </w:r>
    </w:p>
    <w:p>
      <w:pPr>
        <w:jc w:val="left"/>
        <w:rPr>
          <w:rFonts w:hint="default"/>
          <w:lang w:val="en-US" w:eastAsia="zh-CN"/>
        </w:rPr>
      </w:pPr>
      <w:r>
        <w:rPr>
          <w:rFonts w:hint="default"/>
          <w:lang w:val="en-US" w:eastAsia="zh-CN"/>
        </w:rPr>
        <w:drawing>
          <wp:inline distT="0" distB="0" distL="114300" distR="114300">
            <wp:extent cx="5272405" cy="2393315"/>
            <wp:effectExtent l="0" t="0" r="4445" b="6985"/>
            <wp:docPr id="16" name="图片 16" descr="6397cdf1ebb7717ff51f6a6af669c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397cdf1ebb7717ff51f6a6af669c99f"/>
                    <pic:cNvPicPr>
                      <a:picLocks noChangeAspect="1"/>
                    </pic:cNvPicPr>
                  </pic:nvPicPr>
                  <pic:blipFill>
                    <a:blip r:embed="rId26"/>
                    <a:stretch>
                      <a:fillRect/>
                    </a:stretch>
                  </pic:blipFill>
                  <pic:spPr>
                    <a:xfrm>
                      <a:off x="0" y="0"/>
                      <a:ext cx="5272405" cy="2393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lang w:val="en-US" w:eastAsia="zh-CN"/>
        </w:rPr>
      </w:pPr>
      <w:r>
        <w:rPr>
          <w:rFonts w:hint="default" w:ascii="微软雅黑" w:hAnsi="微软雅黑" w:eastAsia="微软雅黑" w:cs="微软雅黑"/>
          <w:b/>
          <w:bCs/>
          <w:lang w:val="en-US" w:eastAsia="zh-CN"/>
        </w:rPr>
        <w:t>04学习笔记</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本模块是考研人群在复习各科目内容时，对复习内容的系统化梳理和要点总结。共收集整理了各科考研笔记</w:t>
      </w:r>
      <w:r>
        <w:rPr>
          <w:rFonts w:hint="eastAsia" w:ascii="微软雅黑" w:hAnsi="微软雅黑" w:eastAsia="微软雅黑" w:cs="微软雅黑"/>
          <w:lang w:val="en-US" w:eastAsia="zh-CN"/>
        </w:rPr>
        <w:t>14</w:t>
      </w:r>
      <w:r>
        <w:rPr>
          <w:rFonts w:hint="default" w:ascii="微软雅黑" w:hAnsi="微软雅黑" w:eastAsia="微软雅黑" w:cs="微软雅黑"/>
          <w:lang w:val="en-US" w:eastAsia="zh-CN"/>
        </w:rPr>
        <w:t>00余份，并对每个笔记的内容进行了全人工标引，提供索引检索，以帮助使用者串联课程讲义及学习笔记内的知识点内容，复习更有针对性。</w:t>
      </w:r>
    </w:p>
    <w:p>
      <w:pPr>
        <w:jc w:val="left"/>
        <w:rPr>
          <w:rFonts w:hint="default"/>
          <w:lang w:val="en-US" w:eastAsia="zh-CN"/>
        </w:rPr>
      </w:pPr>
      <w:r>
        <w:rPr>
          <w:rFonts w:hint="default"/>
          <w:lang w:val="en-US" w:eastAsia="zh-CN"/>
        </w:rPr>
        <w:drawing>
          <wp:inline distT="0" distB="0" distL="114300" distR="114300">
            <wp:extent cx="5266690" cy="2336165"/>
            <wp:effectExtent l="0" t="0" r="10160" b="6985"/>
            <wp:docPr id="19" name="图片 19" descr="ce80d4b303fc181202325a0fd528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e80d4b303fc181202325a0fd5289133"/>
                    <pic:cNvPicPr>
                      <a:picLocks noChangeAspect="1"/>
                    </pic:cNvPicPr>
                  </pic:nvPicPr>
                  <pic:blipFill>
                    <a:blip r:embed="rId27"/>
                    <a:stretch>
                      <a:fillRect/>
                    </a:stretch>
                  </pic:blipFill>
                  <pic:spPr>
                    <a:xfrm>
                      <a:off x="0" y="0"/>
                      <a:ext cx="5266690" cy="2336165"/>
                    </a:xfrm>
                    <a:prstGeom prst="rect">
                      <a:avLst/>
                    </a:prstGeom>
                  </pic:spPr>
                </pic:pic>
              </a:graphicData>
            </a:graphic>
          </wp:inline>
        </w:drawing>
      </w:r>
    </w:p>
    <w:p>
      <w:pPr>
        <w:jc w:val="left"/>
        <w:rPr>
          <w:rFonts w:hint="default"/>
          <w:lang w:val="en-US" w:eastAsia="zh-CN"/>
        </w:rPr>
      </w:pPr>
      <w:r>
        <w:rPr>
          <w:rFonts w:hint="default"/>
          <w:lang w:val="en-US" w:eastAsia="zh-CN"/>
        </w:rPr>
        <w:drawing>
          <wp:inline distT="0" distB="0" distL="114300" distR="114300">
            <wp:extent cx="5266690" cy="2121535"/>
            <wp:effectExtent l="0" t="0" r="10160" b="12065"/>
            <wp:docPr id="20" name="图片 20" descr="a796c9aabe85950ca659b1b3bce8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796c9aabe85950ca659b1b3bce81887"/>
                    <pic:cNvPicPr>
                      <a:picLocks noChangeAspect="1"/>
                    </pic:cNvPicPr>
                  </pic:nvPicPr>
                  <pic:blipFill>
                    <a:blip r:embed="rId28"/>
                    <a:stretch>
                      <a:fillRect/>
                    </a:stretch>
                  </pic:blipFill>
                  <pic:spPr>
                    <a:xfrm>
                      <a:off x="0" y="0"/>
                      <a:ext cx="5266690" cy="2121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b/>
          <w:bCs/>
          <w:lang w:val="en-US" w:eastAsia="zh-CN"/>
        </w:rPr>
        <w:t>05各校考研试卷</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收集整理了近2000套各高校历年的专业考研真题试卷，这部分试卷没有标准答案，无法提供单题训练或模拟考试训练，因此只提供检索和下载，以帮助考研人群了解目标院校相关专业的考试范围和题型。</w:t>
      </w:r>
    </w:p>
    <w:p>
      <w:pPr>
        <w:jc w:val="left"/>
        <w:rPr>
          <w:rFonts w:hint="default"/>
          <w:lang w:val="en-US" w:eastAsia="zh-CN"/>
        </w:rPr>
      </w:pPr>
      <w:r>
        <w:rPr>
          <w:rFonts w:hint="default"/>
          <w:lang w:val="en-US" w:eastAsia="zh-CN"/>
        </w:rPr>
        <w:drawing>
          <wp:inline distT="0" distB="0" distL="114300" distR="114300">
            <wp:extent cx="5266690" cy="2740660"/>
            <wp:effectExtent l="0" t="0" r="10160" b="2540"/>
            <wp:docPr id="21" name="图片 21" descr="4e881a0383a5a9cb3f5718888d20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e881a0383a5a9cb3f5718888d206932"/>
                    <pic:cNvPicPr>
                      <a:picLocks noChangeAspect="1"/>
                    </pic:cNvPicPr>
                  </pic:nvPicPr>
                  <pic:blipFill>
                    <a:blip r:embed="rId29"/>
                    <a:stretch>
                      <a:fillRect/>
                    </a:stretch>
                  </pic:blipFill>
                  <pic:spPr>
                    <a:xfrm>
                      <a:off x="0" y="0"/>
                      <a:ext cx="5266690" cy="2740660"/>
                    </a:xfrm>
                    <a:prstGeom prst="rect">
                      <a:avLst/>
                    </a:prstGeom>
                  </pic:spPr>
                </pic:pic>
              </a:graphicData>
            </a:graphic>
          </wp:inline>
        </w:drawing>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kern w:val="2"/>
          <w:sz w:val="21"/>
          <w:szCs w:val="24"/>
          <w:lang w:val="en-US" w:eastAsia="zh-CN" w:bidi="ar-SA"/>
        </w:rPr>
      </w:pPr>
      <w:r>
        <w:rPr>
          <w:rFonts w:hint="eastAsia" w:ascii="微软雅黑" w:hAnsi="微软雅黑" w:eastAsia="微软雅黑" w:cs="微软雅黑"/>
          <w:b/>
          <w:bCs/>
          <w:kern w:val="2"/>
          <w:sz w:val="21"/>
          <w:szCs w:val="24"/>
          <w:lang w:val="en-US" w:eastAsia="zh-CN" w:bidi="ar-SA"/>
        </w:rPr>
        <w:t>06个人中心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新宋体" w:hAnsi="新宋体" w:eastAsia="新宋体"/>
        </w:rPr>
      </w:pPr>
      <w:r>
        <w:rPr>
          <w:rFonts w:hint="eastAsia" w:ascii="微软雅黑" w:hAnsi="微软雅黑" w:eastAsia="微软雅黑" w:cs="微软雅黑"/>
          <w:kern w:val="2"/>
          <w:sz w:val="21"/>
          <w:szCs w:val="24"/>
          <w:lang w:val="en-US" w:eastAsia="zh-CN" w:bidi="ar-SA"/>
        </w:rPr>
        <w:t>个人中心用于收藏课程讲义、学习笔记、试题、试卷等，并自动生成做卷记录和错题库，提供错题组卷功能，提供用户个性化使用工具。</w:t>
      </w:r>
    </w:p>
    <w:p>
      <w:pPr>
        <w:rPr>
          <w:rFonts w:hint="eastAsia" w:eastAsiaTheme="minorEastAsia"/>
          <w:lang w:eastAsia="zh-CN"/>
        </w:rPr>
      </w:pPr>
      <w:r>
        <w:rPr>
          <w:rFonts w:hint="eastAsia" w:eastAsiaTheme="minorEastAsia"/>
          <w:lang w:eastAsia="zh-CN"/>
        </w:rPr>
        <w:drawing>
          <wp:inline distT="0" distB="0" distL="114300" distR="114300">
            <wp:extent cx="5266690" cy="2753995"/>
            <wp:effectExtent l="0" t="0" r="10160" b="8255"/>
            <wp:docPr id="24" name="图片 24" descr="1622514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2514402(1)"/>
                    <pic:cNvPicPr>
                      <a:picLocks noChangeAspect="1"/>
                    </pic:cNvPicPr>
                  </pic:nvPicPr>
                  <pic:blipFill>
                    <a:blip r:embed="rId30"/>
                    <a:stretch>
                      <a:fillRect/>
                    </a:stretch>
                  </pic:blipFill>
                  <pic:spPr>
                    <a:xfrm>
                      <a:off x="0" y="0"/>
                      <a:ext cx="5266690" cy="2753995"/>
                    </a:xfrm>
                    <a:prstGeom prst="rect">
                      <a:avLst/>
                    </a:prstGeom>
                  </pic:spPr>
                </pic:pic>
              </a:graphicData>
            </a:graphic>
          </wp:inline>
        </w:drawing>
      </w:r>
    </w:p>
    <w:p>
      <w:pPr>
        <w:ind w:left="420"/>
        <w:rPr>
          <w:rFonts w:hint="eastAsia" w:ascii="微软雅黑" w:hAnsi="微软雅黑" w:eastAsia="微软雅黑" w:cs="微软雅黑"/>
        </w:rPr>
      </w:pPr>
    </w:p>
    <w:p>
      <w:pPr>
        <w:ind w:left="420"/>
        <w:rPr>
          <w:rFonts w:hint="eastAsia" w:ascii="微软雅黑" w:hAnsi="微软雅黑" w:eastAsia="微软雅黑" w:cs="微软雅黑"/>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roman"/>
    <w:pitch w:val="default"/>
    <w:sig w:usb0="80000287" w:usb1="28CF3C50" w:usb2="00000016" w:usb3="00000000" w:csb0="0004001F" w:csb1="00000000"/>
  </w:font>
  <w:font w:name="Microsoft YaHei UI">
    <w:panose1 w:val="020B0503020204020204"/>
    <w:charset w:val="86"/>
    <w:family w:val="auto"/>
    <w:pitch w:val="default"/>
    <w:sig w:usb0="80000287" w:usb1="28CF3C50"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46C19A"/>
    <w:multiLevelType w:val="singleLevel"/>
    <w:tmpl w:val="2846C19A"/>
    <w:lvl w:ilvl="0" w:tentative="0">
      <w:start w:val="1"/>
      <w:numFmt w:val="chineseCounting"/>
      <w:suff w:val="nothing"/>
      <w:lvlText w:val="%1、"/>
      <w:lvlJc w:val="left"/>
      <w:rPr>
        <w:rFonts w:hint="eastAsia"/>
      </w:rPr>
    </w:lvl>
  </w:abstractNum>
  <w:abstractNum w:abstractNumId="1">
    <w:nsid w:val="2FC7120F"/>
    <w:multiLevelType w:val="multilevel"/>
    <w:tmpl w:val="2FC7120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749"/>
    <w:rsid w:val="0000065D"/>
    <w:rsid w:val="00007F73"/>
    <w:rsid w:val="0001012E"/>
    <w:rsid w:val="00017556"/>
    <w:rsid w:val="00020CD0"/>
    <w:rsid w:val="00020FB2"/>
    <w:rsid w:val="00021D88"/>
    <w:rsid w:val="00025610"/>
    <w:rsid w:val="00027ACF"/>
    <w:rsid w:val="00027F4F"/>
    <w:rsid w:val="0003119A"/>
    <w:rsid w:val="000353CE"/>
    <w:rsid w:val="00037B7E"/>
    <w:rsid w:val="00045DC5"/>
    <w:rsid w:val="000478E2"/>
    <w:rsid w:val="00047CA0"/>
    <w:rsid w:val="00056017"/>
    <w:rsid w:val="00057E4B"/>
    <w:rsid w:val="00061568"/>
    <w:rsid w:val="0006455C"/>
    <w:rsid w:val="00066332"/>
    <w:rsid w:val="000725E4"/>
    <w:rsid w:val="0008617A"/>
    <w:rsid w:val="00086D3E"/>
    <w:rsid w:val="000923E7"/>
    <w:rsid w:val="000935A5"/>
    <w:rsid w:val="000938CC"/>
    <w:rsid w:val="00097CC0"/>
    <w:rsid w:val="000A171B"/>
    <w:rsid w:val="000B2100"/>
    <w:rsid w:val="000B5ACE"/>
    <w:rsid w:val="000C075C"/>
    <w:rsid w:val="000C2A8E"/>
    <w:rsid w:val="000C3A69"/>
    <w:rsid w:val="000D3A55"/>
    <w:rsid w:val="000D4206"/>
    <w:rsid w:val="000D5CE2"/>
    <w:rsid w:val="000E2E96"/>
    <w:rsid w:val="000E49DA"/>
    <w:rsid w:val="00100AA5"/>
    <w:rsid w:val="00101CF4"/>
    <w:rsid w:val="00102AFF"/>
    <w:rsid w:val="00107F26"/>
    <w:rsid w:val="00111967"/>
    <w:rsid w:val="00114D67"/>
    <w:rsid w:val="00133A97"/>
    <w:rsid w:val="00150033"/>
    <w:rsid w:val="001502FA"/>
    <w:rsid w:val="00150B24"/>
    <w:rsid w:val="00150F5D"/>
    <w:rsid w:val="001529A1"/>
    <w:rsid w:val="00155509"/>
    <w:rsid w:val="00155734"/>
    <w:rsid w:val="001625A4"/>
    <w:rsid w:val="00165AF2"/>
    <w:rsid w:val="00172B28"/>
    <w:rsid w:val="00174F04"/>
    <w:rsid w:val="00175767"/>
    <w:rsid w:val="00177A00"/>
    <w:rsid w:val="001811C4"/>
    <w:rsid w:val="00196260"/>
    <w:rsid w:val="00197D67"/>
    <w:rsid w:val="00197FDC"/>
    <w:rsid w:val="001A4509"/>
    <w:rsid w:val="001A76BE"/>
    <w:rsid w:val="001B05DD"/>
    <w:rsid w:val="001B5CBF"/>
    <w:rsid w:val="001B6D98"/>
    <w:rsid w:val="001C4D26"/>
    <w:rsid w:val="001C759F"/>
    <w:rsid w:val="001E0F8D"/>
    <w:rsid w:val="001E2033"/>
    <w:rsid w:val="001E519C"/>
    <w:rsid w:val="001E588F"/>
    <w:rsid w:val="001F186A"/>
    <w:rsid w:val="001F46BA"/>
    <w:rsid w:val="001F4F60"/>
    <w:rsid w:val="00200DA3"/>
    <w:rsid w:val="00201877"/>
    <w:rsid w:val="00206241"/>
    <w:rsid w:val="002072FD"/>
    <w:rsid w:val="00211ACD"/>
    <w:rsid w:val="002174FD"/>
    <w:rsid w:val="00221B5E"/>
    <w:rsid w:val="002230B0"/>
    <w:rsid w:val="00224F2C"/>
    <w:rsid w:val="002250DD"/>
    <w:rsid w:val="00226988"/>
    <w:rsid w:val="00240317"/>
    <w:rsid w:val="002418D8"/>
    <w:rsid w:val="00242293"/>
    <w:rsid w:val="002438F0"/>
    <w:rsid w:val="00246637"/>
    <w:rsid w:val="002473FB"/>
    <w:rsid w:val="00247ABD"/>
    <w:rsid w:val="002507DC"/>
    <w:rsid w:val="002512D8"/>
    <w:rsid w:val="002523FB"/>
    <w:rsid w:val="00253256"/>
    <w:rsid w:val="00253A2A"/>
    <w:rsid w:val="00255D95"/>
    <w:rsid w:val="00265789"/>
    <w:rsid w:val="0026787C"/>
    <w:rsid w:val="002710BB"/>
    <w:rsid w:val="002720D4"/>
    <w:rsid w:val="002759F3"/>
    <w:rsid w:val="00277D93"/>
    <w:rsid w:val="00280584"/>
    <w:rsid w:val="00283EA1"/>
    <w:rsid w:val="002843BD"/>
    <w:rsid w:val="002875F4"/>
    <w:rsid w:val="0028796B"/>
    <w:rsid w:val="00291715"/>
    <w:rsid w:val="002A4ED4"/>
    <w:rsid w:val="002C1517"/>
    <w:rsid w:val="002D09CC"/>
    <w:rsid w:val="002D263E"/>
    <w:rsid w:val="002D51BB"/>
    <w:rsid w:val="002D5B60"/>
    <w:rsid w:val="002F536E"/>
    <w:rsid w:val="003019C9"/>
    <w:rsid w:val="00313041"/>
    <w:rsid w:val="00316CBC"/>
    <w:rsid w:val="00334EA1"/>
    <w:rsid w:val="00342026"/>
    <w:rsid w:val="003437A4"/>
    <w:rsid w:val="003460AF"/>
    <w:rsid w:val="00350368"/>
    <w:rsid w:val="00350646"/>
    <w:rsid w:val="00355FD8"/>
    <w:rsid w:val="00370220"/>
    <w:rsid w:val="003715A1"/>
    <w:rsid w:val="00374D0E"/>
    <w:rsid w:val="00380624"/>
    <w:rsid w:val="00390134"/>
    <w:rsid w:val="003934A2"/>
    <w:rsid w:val="003A16CB"/>
    <w:rsid w:val="003B00F3"/>
    <w:rsid w:val="003B2135"/>
    <w:rsid w:val="003B33CE"/>
    <w:rsid w:val="003C23FA"/>
    <w:rsid w:val="003C7BFD"/>
    <w:rsid w:val="003D3130"/>
    <w:rsid w:val="003D63B2"/>
    <w:rsid w:val="003E5372"/>
    <w:rsid w:val="003F0589"/>
    <w:rsid w:val="003F459D"/>
    <w:rsid w:val="003F7BD8"/>
    <w:rsid w:val="00402308"/>
    <w:rsid w:val="00404899"/>
    <w:rsid w:val="004053E8"/>
    <w:rsid w:val="00412B9F"/>
    <w:rsid w:val="004133F8"/>
    <w:rsid w:val="00417E57"/>
    <w:rsid w:val="004235CC"/>
    <w:rsid w:val="00424136"/>
    <w:rsid w:val="0042724E"/>
    <w:rsid w:val="0043674B"/>
    <w:rsid w:val="004442D1"/>
    <w:rsid w:val="00447155"/>
    <w:rsid w:val="00451F21"/>
    <w:rsid w:val="004527A4"/>
    <w:rsid w:val="00455E35"/>
    <w:rsid w:val="00456CA5"/>
    <w:rsid w:val="00462550"/>
    <w:rsid w:val="00466D93"/>
    <w:rsid w:val="0047055D"/>
    <w:rsid w:val="00471E08"/>
    <w:rsid w:val="004736C7"/>
    <w:rsid w:val="00473F1A"/>
    <w:rsid w:val="00477E97"/>
    <w:rsid w:val="00493ED6"/>
    <w:rsid w:val="00495340"/>
    <w:rsid w:val="0049611D"/>
    <w:rsid w:val="004A32EC"/>
    <w:rsid w:val="004A5C58"/>
    <w:rsid w:val="004A6677"/>
    <w:rsid w:val="004A6AC5"/>
    <w:rsid w:val="004B1E14"/>
    <w:rsid w:val="004B242A"/>
    <w:rsid w:val="004B3A74"/>
    <w:rsid w:val="004B5958"/>
    <w:rsid w:val="004B6642"/>
    <w:rsid w:val="004B6FD8"/>
    <w:rsid w:val="004C4704"/>
    <w:rsid w:val="004C7E03"/>
    <w:rsid w:val="004D3796"/>
    <w:rsid w:val="004D6D25"/>
    <w:rsid w:val="004E327E"/>
    <w:rsid w:val="004E36F6"/>
    <w:rsid w:val="004E3CF5"/>
    <w:rsid w:val="004F0B81"/>
    <w:rsid w:val="004F7326"/>
    <w:rsid w:val="004F7EC4"/>
    <w:rsid w:val="004F7F14"/>
    <w:rsid w:val="0050105C"/>
    <w:rsid w:val="00505F3C"/>
    <w:rsid w:val="00507C58"/>
    <w:rsid w:val="00514368"/>
    <w:rsid w:val="00515336"/>
    <w:rsid w:val="005176F6"/>
    <w:rsid w:val="00523791"/>
    <w:rsid w:val="00523F2E"/>
    <w:rsid w:val="0052556C"/>
    <w:rsid w:val="005314E9"/>
    <w:rsid w:val="00541182"/>
    <w:rsid w:val="00541ECD"/>
    <w:rsid w:val="005433A3"/>
    <w:rsid w:val="005435DE"/>
    <w:rsid w:val="00547AB2"/>
    <w:rsid w:val="00550DC2"/>
    <w:rsid w:val="00553152"/>
    <w:rsid w:val="00553E51"/>
    <w:rsid w:val="00555CBC"/>
    <w:rsid w:val="0055741C"/>
    <w:rsid w:val="005604EF"/>
    <w:rsid w:val="00567804"/>
    <w:rsid w:val="00572378"/>
    <w:rsid w:val="00572CBB"/>
    <w:rsid w:val="00573154"/>
    <w:rsid w:val="0057420D"/>
    <w:rsid w:val="00581710"/>
    <w:rsid w:val="00583AC5"/>
    <w:rsid w:val="005849AC"/>
    <w:rsid w:val="005A1E17"/>
    <w:rsid w:val="005A1FE1"/>
    <w:rsid w:val="005A5E50"/>
    <w:rsid w:val="005B2DA8"/>
    <w:rsid w:val="005B3E5C"/>
    <w:rsid w:val="005B4609"/>
    <w:rsid w:val="005B730C"/>
    <w:rsid w:val="005C0C8D"/>
    <w:rsid w:val="005C0CC9"/>
    <w:rsid w:val="005C0D07"/>
    <w:rsid w:val="005C180D"/>
    <w:rsid w:val="005C2135"/>
    <w:rsid w:val="005C2684"/>
    <w:rsid w:val="005C3362"/>
    <w:rsid w:val="005C5346"/>
    <w:rsid w:val="005C7DFA"/>
    <w:rsid w:val="005E2AE4"/>
    <w:rsid w:val="005F1199"/>
    <w:rsid w:val="005F2E0A"/>
    <w:rsid w:val="005F5196"/>
    <w:rsid w:val="00602573"/>
    <w:rsid w:val="00603950"/>
    <w:rsid w:val="00613E2E"/>
    <w:rsid w:val="00626211"/>
    <w:rsid w:val="00626A2B"/>
    <w:rsid w:val="00627504"/>
    <w:rsid w:val="006279D1"/>
    <w:rsid w:val="006321EB"/>
    <w:rsid w:val="00641408"/>
    <w:rsid w:val="00643683"/>
    <w:rsid w:val="00652116"/>
    <w:rsid w:val="00660139"/>
    <w:rsid w:val="00665689"/>
    <w:rsid w:val="00671333"/>
    <w:rsid w:val="006720A4"/>
    <w:rsid w:val="0068082B"/>
    <w:rsid w:val="00681B3B"/>
    <w:rsid w:val="00686770"/>
    <w:rsid w:val="0068708A"/>
    <w:rsid w:val="00690056"/>
    <w:rsid w:val="00694C50"/>
    <w:rsid w:val="006A48F5"/>
    <w:rsid w:val="006A56D3"/>
    <w:rsid w:val="006B2BAD"/>
    <w:rsid w:val="006B467E"/>
    <w:rsid w:val="006B5B6F"/>
    <w:rsid w:val="006C0329"/>
    <w:rsid w:val="006C399C"/>
    <w:rsid w:val="006C62BB"/>
    <w:rsid w:val="006C62E2"/>
    <w:rsid w:val="006C6E5C"/>
    <w:rsid w:val="006D22B8"/>
    <w:rsid w:val="006E0FF4"/>
    <w:rsid w:val="006E13DA"/>
    <w:rsid w:val="006E3FA0"/>
    <w:rsid w:val="006F70FA"/>
    <w:rsid w:val="00702870"/>
    <w:rsid w:val="00706997"/>
    <w:rsid w:val="00706E57"/>
    <w:rsid w:val="00712861"/>
    <w:rsid w:val="007154C5"/>
    <w:rsid w:val="00716835"/>
    <w:rsid w:val="00727CF0"/>
    <w:rsid w:val="00737299"/>
    <w:rsid w:val="00742E76"/>
    <w:rsid w:val="00743320"/>
    <w:rsid w:val="007435D3"/>
    <w:rsid w:val="00744749"/>
    <w:rsid w:val="00753508"/>
    <w:rsid w:val="007543F2"/>
    <w:rsid w:val="0075793D"/>
    <w:rsid w:val="00764DCA"/>
    <w:rsid w:val="00766A0A"/>
    <w:rsid w:val="00771D1A"/>
    <w:rsid w:val="00772398"/>
    <w:rsid w:val="007763A4"/>
    <w:rsid w:val="00780C65"/>
    <w:rsid w:val="00781F1D"/>
    <w:rsid w:val="007908CC"/>
    <w:rsid w:val="007A1401"/>
    <w:rsid w:val="007A2E5B"/>
    <w:rsid w:val="007B45F3"/>
    <w:rsid w:val="007B48A6"/>
    <w:rsid w:val="007B4B66"/>
    <w:rsid w:val="007B56B2"/>
    <w:rsid w:val="007B7292"/>
    <w:rsid w:val="007D4043"/>
    <w:rsid w:val="007D5195"/>
    <w:rsid w:val="007E02CF"/>
    <w:rsid w:val="007E7F6D"/>
    <w:rsid w:val="007F525C"/>
    <w:rsid w:val="007F53F1"/>
    <w:rsid w:val="00802C58"/>
    <w:rsid w:val="00803366"/>
    <w:rsid w:val="00804D5C"/>
    <w:rsid w:val="00813B62"/>
    <w:rsid w:val="00816FB2"/>
    <w:rsid w:val="00817B8C"/>
    <w:rsid w:val="00824BED"/>
    <w:rsid w:val="00824DFE"/>
    <w:rsid w:val="00826E08"/>
    <w:rsid w:val="00827651"/>
    <w:rsid w:val="00830E58"/>
    <w:rsid w:val="00834222"/>
    <w:rsid w:val="00834538"/>
    <w:rsid w:val="0084371F"/>
    <w:rsid w:val="00845CD8"/>
    <w:rsid w:val="008575BF"/>
    <w:rsid w:val="00860970"/>
    <w:rsid w:val="00860A25"/>
    <w:rsid w:val="008618C1"/>
    <w:rsid w:val="00862464"/>
    <w:rsid w:val="00862E25"/>
    <w:rsid w:val="00865388"/>
    <w:rsid w:val="00865527"/>
    <w:rsid w:val="00867745"/>
    <w:rsid w:val="00873CA2"/>
    <w:rsid w:val="0087437F"/>
    <w:rsid w:val="0087647B"/>
    <w:rsid w:val="008A144B"/>
    <w:rsid w:val="008A330A"/>
    <w:rsid w:val="008A709C"/>
    <w:rsid w:val="008B3769"/>
    <w:rsid w:val="008B4E9C"/>
    <w:rsid w:val="008B58B0"/>
    <w:rsid w:val="008E12FB"/>
    <w:rsid w:val="008E4405"/>
    <w:rsid w:val="008E4487"/>
    <w:rsid w:val="008E6695"/>
    <w:rsid w:val="008F6E45"/>
    <w:rsid w:val="0090042C"/>
    <w:rsid w:val="00901956"/>
    <w:rsid w:val="00906AA0"/>
    <w:rsid w:val="00913342"/>
    <w:rsid w:val="00914411"/>
    <w:rsid w:val="00917661"/>
    <w:rsid w:val="00925C7B"/>
    <w:rsid w:val="00925EF4"/>
    <w:rsid w:val="00934C28"/>
    <w:rsid w:val="00946CB3"/>
    <w:rsid w:val="0095134C"/>
    <w:rsid w:val="00952B06"/>
    <w:rsid w:val="0095749B"/>
    <w:rsid w:val="00965D0C"/>
    <w:rsid w:val="00966188"/>
    <w:rsid w:val="00966433"/>
    <w:rsid w:val="00974DCC"/>
    <w:rsid w:val="00975039"/>
    <w:rsid w:val="00985592"/>
    <w:rsid w:val="0098672C"/>
    <w:rsid w:val="00987E7C"/>
    <w:rsid w:val="009907A4"/>
    <w:rsid w:val="009936CA"/>
    <w:rsid w:val="00993C8F"/>
    <w:rsid w:val="009A141B"/>
    <w:rsid w:val="009A575C"/>
    <w:rsid w:val="009A6292"/>
    <w:rsid w:val="009A685F"/>
    <w:rsid w:val="009A7006"/>
    <w:rsid w:val="009B0FEE"/>
    <w:rsid w:val="009B34DC"/>
    <w:rsid w:val="009B3AB9"/>
    <w:rsid w:val="009C05B0"/>
    <w:rsid w:val="009C6832"/>
    <w:rsid w:val="009D27A9"/>
    <w:rsid w:val="009E2963"/>
    <w:rsid w:val="009E5CB2"/>
    <w:rsid w:val="009E60D2"/>
    <w:rsid w:val="009F2054"/>
    <w:rsid w:val="009F2F63"/>
    <w:rsid w:val="009F573D"/>
    <w:rsid w:val="00A01BC5"/>
    <w:rsid w:val="00A01ED3"/>
    <w:rsid w:val="00A10779"/>
    <w:rsid w:val="00A15499"/>
    <w:rsid w:val="00A15B2E"/>
    <w:rsid w:val="00A16E1F"/>
    <w:rsid w:val="00A2240B"/>
    <w:rsid w:val="00A249B2"/>
    <w:rsid w:val="00A2617C"/>
    <w:rsid w:val="00A405DC"/>
    <w:rsid w:val="00A4701C"/>
    <w:rsid w:val="00A51FDF"/>
    <w:rsid w:val="00A52AE5"/>
    <w:rsid w:val="00A539B7"/>
    <w:rsid w:val="00A54CB7"/>
    <w:rsid w:val="00A60365"/>
    <w:rsid w:val="00A64C2C"/>
    <w:rsid w:val="00A65541"/>
    <w:rsid w:val="00A70F96"/>
    <w:rsid w:val="00A72890"/>
    <w:rsid w:val="00A72AB9"/>
    <w:rsid w:val="00A74A7D"/>
    <w:rsid w:val="00A81AED"/>
    <w:rsid w:val="00A82E37"/>
    <w:rsid w:val="00A869DF"/>
    <w:rsid w:val="00A940B1"/>
    <w:rsid w:val="00AA5C1D"/>
    <w:rsid w:val="00AA69AD"/>
    <w:rsid w:val="00AB39BA"/>
    <w:rsid w:val="00AB67D8"/>
    <w:rsid w:val="00AB793F"/>
    <w:rsid w:val="00AC03CE"/>
    <w:rsid w:val="00AC0489"/>
    <w:rsid w:val="00AC76C4"/>
    <w:rsid w:val="00AD120A"/>
    <w:rsid w:val="00AD7C3C"/>
    <w:rsid w:val="00B05969"/>
    <w:rsid w:val="00B111E0"/>
    <w:rsid w:val="00B17EE8"/>
    <w:rsid w:val="00B23ED1"/>
    <w:rsid w:val="00B243A4"/>
    <w:rsid w:val="00B254F5"/>
    <w:rsid w:val="00B25E42"/>
    <w:rsid w:val="00B34C5B"/>
    <w:rsid w:val="00B36A30"/>
    <w:rsid w:val="00B40CFA"/>
    <w:rsid w:val="00B40D6E"/>
    <w:rsid w:val="00B47B8E"/>
    <w:rsid w:val="00B51B28"/>
    <w:rsid w:val="00B567BD"/>
    <w:rsid w:val="00B576A6"/>
    <w:rsid w:val="00B612C7"/>
    <w:rsid w:val="00B64567"/>
    <w:rsid w:val="00B73240"/>
    <w:rsid w:val="00B76925"/>
    <w:rsid w:val="00B813D7"/>
    <w:rsid w:val="00B82811"/>
    <w:rsid w:val="00B87426"/>
    <w:rsid w:val="00BA4204"/>
    <w:rsid w:val="00BA7630"/>
    <w:rsid w:val="00BB1423"/>
    <w:rsid w:val="00BC51CB"/>
    <w:rsid w:val="00BC721A"/>
    <w:rsid w:val="00BD53ED"/>
    <w:rsid w:val="00BD76D8"/>
    <w:rsid w:val="00BE24F6"/>
    <w:rsid w:val="00BE29E5"/>
    <w:rsid w:val="00BF5B6E"/>
    <w:rsid w:val="00C0306F"/>
    <w:rsid w:val="00C03A46"/>
    <w:rsid w:val="00C03B37"/>
    <w:rsid w:val="00C065C9"/>
    <w:rsid w:val="00C072A4"/>
    <w:rsid w:val="00C1202C"/>
    <w:rsid w:val="00C154A6"/>
    <w:rsid w:val="00C1660F"/>
    <w:rsid w:val="00C17844"/>
    <w:rsid w:val="00C224B2"/>
    <w:rsid w:val="00C2610D"/>
    <w:rsid w:val="00C317B8"/>
    <w:rsid w:val="00C33BF0"/>
    <w:rsid w:val="00C36BF4"/>
    <w:rsid w:val="00C37124"/>
    <w:rsid w:val="00C4554C"/>
    <w:rsid w:val="00C5044E"/>
    <w:rsid w:val="00C50E06"/>
    <w:rsid w:val="00C554C5"/>
    <w:rsid w:val="00C623B7"/>
    <w:rsid w:val="00C62C16"/>
    <w:rsid w:val="00C72E85"/>
    <w:rsid w:val="00C738C3"/>
    <w:rsid w:val="00C75041"/>
    <w:rsid w:val="00C83BCE"/>
    <w:rsid w:val="00C868D3"/>
    <w:rsid w:val="00C8763B"/>
    <w:rsid w:val="00C9177D"/>
    <w:rsid w:val="00C94B54"/>
    <w:rsid w:val="00C94DCD"/>
    <w:rsid w:val="00C958C4"/>
    <w:rsid w:val="00C97AFA"/>
    <w:rsid w:val="00CA2EA1"/>
    <w:rsid w:val="00CB38AB"/>
    <w:rsid w:val="00CB6217"/>
    <w:rsid w:val="00CC0306"/>
    <w:rsid w:val="00CC0D73"/>
    <w:rsid w:val="00CC1A19"/>
    <w:rsid w:val="00CC28BE"/>
    <w:rsid w:val="00CC6A09"/>
    <w:rsid w:val="00CC7A1B"/>
    <w:rsid w:val="00CD066B"/>
    <w:rsid w:val="00CD2377"/>
    <w:rsid w:val="00CD2564"/>
    <w:rsid w:val="00CD423E"/>
    <w:rsid w:val="00CE0B64"/>
    <w:rsid w:val="00CE19FF"/>
    <w:rsid w:val="00CF6FF5"/>
    <w:rsid w:val="00D15034"/>
    <w:rsid w:val="00D20F58"/>
    <w:rsid w:val="00D20FF9"/>
    <w:rsid w:val="00D24E7D"/>
    <w:rsid w:val="00D37D9F"/>
    <w:rsid w:val="00D418A8"/>
    <w:rsid w:val="00D41C39"/>
    <w:rsid w:val="00D45081"/>
    <w:rsid w:val="00D45529"/>
    <w:rsid w:val="00D61BF4"/>
    <w:rsid w:val="00D63D61"/>
    <w:rsid w:val="00D65030"/>
    <w:rsid w:val="00D65889"/>
    <w:rsid w:val="00D74A79"/>
    <w:rsid w:val="00D8057F"/>
    <w:rsid w:val="00D81886"/>
    <w:rsid w:val="00D8352F"/>
    <w:rsid w:val="00D85CAC"/>
    <w:rsid w:val="00D9369A"/>
    <w:rsid w:val="00D97DC9"/>
    <w:rsid w:val="00DA1BEE"/>
    <w:rsid w:val="00DA2B81"/>
    <w:rsid w:val="00DB1E3E"/>
    <w:rsid w:val="00DC2507"/>
    <w:rsid w:val="00DC7CF7"/>
    <w:rsid w:val="00DD1277"/>
    <w:rsid w:val="00DE4D61"/>
    <w:rsid w:val="00DE5994"/>
    <w:rsid w:val="00DE71BE"/>
    <w:rsid w:val="00DF4D92"/>
    <w:rsid w:val="00DF6A72"/>
    <w:rsid w:val="00DF764F"/>
    <w:rsid w:val="00E00C69"/>
    <w:rsid w:val="00E04113"/>
    <w:rsid w:val="00E06675"/>
    <w:rsid w:val="00E10EA9"/>
    <w:rsid w:val="00E113D5"/>
    <w:rsid w:val="00E122CD"/>
    <w:rsid w:val="00E12FC5"/>
    <w:rsid w:val="00E146B8"/>
    <w:rsid w:val="00E14BDB"/>
    <w:rsid w:val="00E15AE4"/>
    <w:rsid w:val="00E15DFC"/>
    <w:rsid w:val="00E17C70"/>
    <w:rsid w:val="00E22F5B"/>
    <w:rsid w:val="00E27529"/>
    <w:rsid w:val="00E332A5"/>
    <w:rsid w:val="00E3611F"/>
    <w:rsid w:val="00E37346"/>
    <w:rsid w:val="00E37922"/>
    <w:rsid w:val="00E40C77"/>
    <w:rsid w:val="00E4533B"/>
    <w:rsid w:val="00E52911"/>
    <w:rsid w:val="00E53485"/>
    <w:rsid w:val="00E53AEB"/>
    <w:rsid w:val="00E55B30"/>
    <w:rsid w:val="00E5740B"/>
    <w:rsid w:val="00E574CE"/>
    <w:rsid w:val="00E57A00"/>
    <w:rsid w:val="00E61D55"/>
    <w:rsid w:val="00E64AE6"/>
    <w:rsid w:val="00E64D0F"/>
    <w:rsid w:val="00E71814"/>
    <w:rsid w:val="00E72DEA"/>
    <w:rsid w:val="00E75BE4"/>
    <w:rsid w:val="00E76A0A"/>
    <w:rsid w:val="00E771F3"/>
    <w:rsid w:val="00E80638"/>
    <w:rsid w:val="00E808A7"/>
    <w:rsid w:val="00E80DF0"/>
    <w:rsid w:val="00E87E2A"/>
    <w:rsid w:val="00E901AD"/>
    <w:rsid w:val="00E94B1D"/>
    <w:rsid w:val="00EA6DAE"/>
    <w:rsid w:val="00EB18A8"/>
    <w:rsid w:val="00EB2749"/>
    <w:rsid w:val="00EB438A"/>
    <w:rsid w:val="00EB5A5E"/>
    <w:rsid w:val="00EB6339"/>
    <w:rsid w:val="00EC1C4A"/>
    <w:rsid w:val="00EC39F1"/>
    <w:rsid w:val="00ED3C34"/>
    <w:rsid w:val="00EE0BE7"/>
    <w:rsid w:val="00EE0E9C"/>
    <w:rsid w:val="00EE2D88"/>
    <w:rsid w:val="00EE4B48"/>
    <w:rsid w:val="00EF328E"/>
    <w:rsid w:val="00EF4D87"/>
    <w:rsid w:val="00EF594C"/>
    <w:rsid w:val="00EF744B"/>
    <w:rsid w:val="00F0608E"/>
    <w:rsid w:val="00F14ECB"/>
    <w:rsid w:val="00F17380"/>
    <w:rsid w:val="00F201FD"/>
    <w:rsid w:val="00F20F49"/>
    <w:rsid w:val="00F266A2"/>
    <w:rsid w:val="00F3528A"/>
    <w:rsid w:val="00F359E5"/>
    <w:rsid w:val="00F41022"/>
    <w:rsid w:val="00F42573"/>
    <w:rsid w:val="00F4697B"/>
    <w:rsid w:val="00F473E1"/>
    <w:rsid w:val="00F50F8C"/>
    <w:rsid w:val="00F7447C"/>
    <w:rsid w:val="00F85388"/>
    <w:rsid w:val="00F92B74"/>
    <w:rsid w:val="00F9415E"/>
    <w:rsid w:val="00F94FE6"/>
    <w:rsid w:val="00F96A95"/>
    <w:rsid w:val="00FB2BF1"/>
    <w:rsid w:val="00FB51B8"/>
    <w:rsid w:val="00FC4EC6"/>
    <w:rsid w:val="00FC5643"/>
    <w:rsid w:val="00FC5EDD"/>
    <w:rsid w:val="00FC7C52"/>
    <w:rsid w:val="00FD4EF5"/>
    <w:rsid w:val="00FD5051"/>
    <w:rsid w:val="00FE2042"/>
    <w:rsid w:val="00FE58FB"/>
    <w:rsid w:val="00FE6C25"/>
    <w:rsid w:val="00FF2C2A"/>
    <w:rsid w:val="00FF7C65"/>
    <w:rsid w:val="04B60AAD"/>
    <w:rsid w:val="066917E8"/>
    <w:rsid w:val="069C0EA7"/>
    <w:rsid w:val="0A0D54ED"/>
    <w:rsid w:val="0B25111A"/>
    <w:rsid w:val="0FB30A8D"/>
    <w:rsid w:val="11E91453"/>
    <w:rsid w:val="1DB47D3F"/>
    <w:rsid w:val="1DEA33E5"/>
    <w:rsid w:val="1EF01131"/>
    <w:rsid w:val="24205411"/>
    <w:rsid w:val="2447494D"/>
    <w:rsid w:val="27DF0795"/>
    <w:rsid w:val="283F601C"/>
    <w:rsid w:val="2B847112"/>
    <w:rsid w:val="339F5B3A"/>
    <w:rsid w:val="43A82219"/>
    <w:rsid w:val="44790FC2"/>
    <w:rsid w:val="47983505"/>
    <w:rsid w:val="47E83743"/>
    <w:rsid w:val="48851207"/>
    <w:rsid w:val="4E76692F"/>
    <w:rsid w:val="4FEB2E87"/>
    <w:rsid w:val="5B8E6D20"/>
    <w:rsid w:val="60E8632B"/>
    <w:rsid w:val="61860256"/>
    <w:rsid w:val="682976C9"/>
    <w:rsid w:val="6A8E658A"/>
    <w:rsid w:val="6E6419AD"/>
    <w:rsid w:val="6F4A36C2"/>
    <w:rsid w:val="6F4C01DF"/>
    <w:rsid w:val="71D71402"/>
    <w:rsid w:val="7394000B"/>
    <w:rsid w:val="777F0F46"/>
    <w:rsid w:val="7EF06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oc 5"/>
    <w:basedOn w:val="1"/>
    <w:next w:val="1"/>
    <w:unhideWhenUsed/>
    <w:qFormat/>
    <w:uiPriority w:val="39"/>
    <w:pPr>
      <w:ind w:left="1680" w:leftChars="800"/>
    </w:pPr>
  </w:style>
  <w:style w:type="paragraph" w:styleId="3">
    <w:name w:val="toc 3"/>
    <w:basedOn w:val="1"/>
    <w:next w:val="1"/>
    <w:unhideWhenUsed/>
    <w:qFormat/>
    <w:uiPriority w:val="39"/>
    <w:pPr>
      <w:ind w:left="840" w:leftChars="400"/>
    </w:pPr>
  </w:style>
  <w:style w:type="paragraph" w:styleId="4">
    <w:name w:val="Balloon Text"/>
    <w:basedOn w:val="1"/>
    <w:link w:val="16"/>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left" w:pos="840"/>
        <w:tab w:val="right" w:leader="dot" w:pos="8296"/>
      </w:tabs>
      <w:spacing w:line="276" w:lineRule="auto"/>
    </w:pPr>
    <w:rPr>
      <w:color w:val="FF0000"/>
    </w:rPr>
  </w:style>
  <w:style w:type="paragraph" w:styleId="8">
    <w:name w:val="toc 4"/>
    <w:basedOn w:val="1"/>
    <w:next w:val="1"/>
    <w:unhideWhenUsed/>
    <w:qFormat/>
    <w:uiPriority w:val="39"/>
    <w:pPr>
      <w:ind w:left="1260" w:leftChars="600"/>
    </w:pPr>
  </w:style>
  <w:style w:type="paragraph" w:styleId="9">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批注框文本 Char"/>
    <w:basedOn w:val="13"/>
    <w:link w:val="4"/>
    <w:semiHidden/>
    <w:qFormat/>
    <w:uiPriority w:val="99"/>
    <w:rPr>
      <w:sz w:val="18"/>
      <w:szCs w:val="18"/>
    </w:rPr>
  </w:style>
  <w:style w:type="character" w:customStyle="1" w:styleId="17">
    <w:name w:val="页眉 Char"/>
    <w:basedOn w:val="13"/>
    <w:link w:val="6"/>
    <w:qFormat/>
    <w:uiPriority w:val="99"/>
    <w:rPr>
      <w:sz w:val="18"/>
      <w:szCs w:val="18"/>
    </w:rPr>
  </w:style>
  <w:style w:type="character" w:customStyle="1" w:styleId="18">
    <w:name w:val="页脚 Char"/>
    <w:basedOn w:val="13"/>
    <w:link w:val="5"/>
    <w:qFormat/>
    <w:uiPriority w:val="99"/>
    <w:rPr>
      <w:sz w:val="18"/>
      <w:szCs w:val="18"/>
    </w:rPr>
  </w:style>
  <w:style w:type="character" w:customStyle="1" w:styleId="19">
    <w:name w:val="副标题 Char"/>
    <w:basedOn w:val="13"/>
    <w:link w:val="9"/>
    <w:qFormat/>
    <w:uiPriority w:val="11"/>
    <w:rPr>
      <w:rFonts w:eastAsia="宋体" w:asciiTheme="majorHAnsi" w:hAnsiTheme="majorHAnsi" w:cstheme="majorBidi"/>
      <w:b/>
      <w:bCs/>
      <w:kern w:val="28"/>
      <w:sz w:val="32"/>
      <w:szCs w:val="32"/>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7DF2A7-8CA4-42D4-9971-152C33154F0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242</Words>
  <Characters>1383</Characters>
  <Lines>11</Lines>
  <Paragraphs>3</Paragraphs>
  <TotalTime>6</TotalTime>
  <ScaleCrop>false</ScaleCrop>
  <LinksUpToDate>false</LinksUpToDate>
  <CharactersWithSpaces>1622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2019-03-15T07:57:00Z</dcterms:created>
  <dc:creator>AutoBVT</dc:creator>
  <cp:lastModifiedBy>SHERO</cp:lastModifiedBy>
  <dcterms:modified xsi:type="dcterms:W3CDTF">2021-06-02T15:49:59Z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62552762257340E0895CD8FA7676E2D3</vt:lpwstr>
  </property>
</Properties>
</file>