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C" w:rsidRDefault="0044128C" w:rsidP="00F85788">
      <w:pPr>
        <w:jc w:val="center"/>
        <w:rPr>
          <w:rFonts w:ascii="方正小标宋_GBK" w:eastAsia="方正小标宋_GBK"/>
          <w:sz w:val="52"/>
          <w:szCs w:val="44"/>
        </w:rPr>
      </w:pPr>
    </w:p>
    <w:p w:rsidR="00DB1BE0" w:rsidRPr="0044128C" w:rsidRDefault="00DB1BE0" w:rsidP="00F85788">
      <w:pPr>
        <w:jc w:val="center"/>
        <w:rPr>
          <w:rFonts w:ascii="方正小标宋_GBK" w:eastAsia="方正小标宋_GBK"/>
          <w:sz w:val="52"/>
          <w:szCs w:val="44"/>
        </w:rPr>
      </w:pPr>
      <w:r w:rsidRPr="0044128C">
        <w:rPr>
          <w:rFonts w:ascii="方正小标宋_GBK" w:eastAsia="方正小标宋_GBK" w:hint="eastAsia"/>
          <w:sz w:val="52"/>
          <w:szCs w:val="44"/>
        </w:rPr>
        <w:t>重庆建筑工程职业学院</w:t>
      </w:r>
    </w:p>
    <w:p w:rsidR="005F55CF" w:rsidRPr="0044128C" w:rsidRDefault="00DB1BE0" w:rsidP="00F85788">
      <w:pPr>
        <w:jc w:val="center"/>
        <w:rPr>
          <w:rFonts w:ascii="方正小标宋_GBK" w:eastAsia="方正小标宋_GBK"/>
          <w:sz w:val="52"/>
          <w:szCs w:val="44"/>
        </w:rPr>
      </w:pPr>
      <w:r w:rsidRPr="0044128C">
        <w:rPr>
          <w:rFonts w:ascii="方正小标宋_GBK" w:eastAsia="方正小标宋_GBK" w:hint="eastAsia"/>
          <w:sz w:val="52"/>
          <w:szCs w:val="44"/>
        </w:rPr>
        <w:t>2019届毕业生就业质量报告</w:t>
      </w:r>
    </w:p>
    <w:p w:rsidR="0044128C" w:rsidRDefault="0044128C" w:rsidP="00F85788">
      <w:pPr>
        <w:rPr>
          <w:rFonts w:ascii="方正仿宋_GBK" w:eastAsia="方正仿宋_GBK"/>
          <w:sz w:val="32"/>
          <w:szCs w:val="32"/>
        </w:rPr>
      </w:pPr>
    </w:p>
    <w:p w:rsidR="0044128C" w:rsidRPr="004E4C1A" w:rsidRDefault="0044128C" w:rsidP="00F85788">
      <w:pPr>
        <w:rPr>
          <w:rFonts w:ascii="方正仿宋_GBK" w:eastAsia="方正仿宋_GBK"/>
          <w:sz w:val="32"/>
          <w:szCs w:val="32"/>
        </w:rPr>
      </w:pPr>
    </w:p>
    <w:p w:rsidR="00DB1BE0" w:rsidRPr="004E4C1A" w:rsidRDefault="00DB1BE0" w:rsidP="00F85788">
      <w:pPr>
        <w:jc w:val="center"/>
        <w:rPr>
          <w:rFonts w:ascii="方正仿宋_GBK" w:eastAsia="方正仿宋_GBK"/>
          <w:sz w:val="32"/>
          <w:szCs w:val="32"/>
        </w:rPr>
      </w:pPr>
      <w:r w:rsidRPr="004E4C1A">
        <w:rPr>
          <w:rFonts w:ascii="方正仿宋_GBK" w:eastAsia="方正仿宋_GBK" w:hint="eastAsia"/>
          <w:noProof/>
          <w:sz w:val="32"/>
          <w:szCs w:val="32"/>
        </w:rPr>
        <w:drawing>
          <wp:inline distT="0" distB="0" distL="0" distR="0">
            <wp:extent cx="2622276" cy="2784143"/>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97" r="45659" b="10190"/>
                    <a:stretch>
                      <a:fillRect/>
                    </a:stretch>
                  </pic:blipFill>
                  <pic:spPr bwMode="auto">
                    <a:xfrm>
                      <a:off x="0" y="0"/>
                      <a:ext cx="2631950" cy="2794414"/>
                    </a:xfrm>
                    <a:prstGeom prst="rect">
                      <a:avLst/>
                    </a:prstGeom>
                    <a:noFill/>
                  </pic:spPr>
                </pic:pic>
              </a:graphicData>
            </a:graphic>
          </wp:inline>
        </w:drawing>
      </w:r>
    </w:p>
    <w:p w:rsidR="00DB1BE0" w:rsidRPr="004E4C1A" w:rsidRDefault="00DB1BE0" w:rsidP="00F85788">
      <w:pPr>
        <w:jc w:val="center"/>
        <w:rPr>
          <w:rFonts w:ascii="方正仿宋_GBK" w:eastAsia="方正仿宋_GBK"/>
          <w:sz w:val="32"/>
          <w:szCs w:val="32"/>
        </w:rPr>
      </w:pPr>
    </w:p>
    <w:p w:rsidR="00DB1BE0" w:rsidRDefault="00DB1BE0" w:rsidP="00F85788">
      <w:pPr>
        <w:jc w:val="center"/>
        <w:rPr>
          <w:rFonts w:ascii="方正仿宋_GBK" w:eastAsia="方正仿宋_GBK"/>
          <w:sz w:val="32"/>
          <w:szCs w:val="32"/>
        </w:rPr>
      </w:pPr>
    </w:p>
    <w:p w:rsidR="0044128C" w:rsidRDefault="0044128C" w:rsidP="00F85788">
      <w:pPr>
        <w:jc w:val="center"/>
        <w:rPr>
          <w:rFonts w:ascii="方正仿宋_GBK" w:eastAsia="方正仿宋_GBK"/>
          <w:sz w:val="32"/>
          <w:szCs w:val="32"/>
        </w:rPr>
      </w:pPr>
    </w:p>
    <w:p w:rsidR="0044128C" w:rsidRPr="004E4C1A" w:rsidRDefault="0044128C" w:rsidP="00F85788">
      <w:pPr>
        <w:jc w:val="center"/>
        <w:rPr>
          <w:rFonts w:ascii="方正仿宋_GBK" w:eastAsia="方正仿宋_GBK"/>
          <w:sz w:val="32"/>
          <w:szCs w:val="32"/>
        </w:rPr>
      </w:pPr>
    </w:p>
    <w:p w:rsidR="00DB1BE0" w:rsidRPr="004E4C1A" w:rsidRDefault="00DB1BE0" w:rsidP="00F85788">
      <w:pPr>
        <w:jc w:val="center"/>
        <w:rPr>
          <w:rFonts w:ascii="方正仿宋_GBK" w:eastAsia="方正仿宋_GBK"/>
          <w:sz w:val="32"/>
          <w:szCs w:val="32"/>
        </w:rPr>
      </w:pPr>
    </w:p>
    <w:p w:rsidR="00DB1BE0" w:rsidRPr="004E4C1A" w:rsidRDefault="00DB1BE0" w:rsidP="00F85788">
      <w:pPr>
        <w:jc w:val="center"/>
        <w:rPr>
          <w:rFonts w:ascii="方正黑体_GBK" w:eastAsia="方正黑体_GBK"/>
          <w:sz w:val="32"/>
          <w:szCs w:val="32"/>
        </w:rPr>
      </w:pPr>
      <w:r w:rsidRPr="004E4C1A">
        <w:rPr>
          <w:rFonts w:ascii="方正黑体_GBK" w:eastAsia="方正黑体_GBK" w:hint="eastAsia"/>
          <w:sz w:val="32"/>
          <w:szCs w:val="32"/>
        </w:rPr>
        <w:t>重庆建筑工程职业学院</w:t>
      </w:r>
    </w:p>
    <w:p w:rsidR="00DB1BE0" w:rsidRPr="004E4C1A" w:rsidRDefault="00DB1BE0" w:rsidP="00F85788">
      <w:pPr>
        <w:jc w:val="center"/>
        <w:rPr>
          <w:rFonts w:ascii="方正黑体_GBK" w:eastAsia="方正黑体_GBK"/>
          <w:sz w:val="32"/>
          <w:szCs w:val="32"/>
        </w:rPr>
        <w:sectPr w:rsidR="00DB1BE0" w:rsidRPr="004E4C1A">
          <w:footerReference w:type="default" r:id="rId9"/>
          <w:pgSz w:w="11906" w:h="16838"/>
          <w:pgMar w:top="1440" w:right="1800" w:bottom="1440" w:left="1800" w:header="851" w:footer="992" w:gutter="0"/>
          <w:cols w:space="425"/>
          <w:docGrid w:type="lines" w:linePitch="312"/>
        </w:sectPr>
      </w:pPr>
      <w:r w:rsidRPr="004E4C1A">
        <w:rPr>
          <w:rFonts w:ascii="方正黑体_GBK" w:eastAsia="方正黑体_GBK" w:hint="eastAsia"/>
          <w:sz w:val="32"/>
          <w:szCs w:val="32"/>
        </w:rPr>
        <w:t>2019年12月</w:t>
      </w:r>
    </w:p>
    <w:p w:rsidR="00DB1BE0" w:rsidRPr="004E4C1A" w:rsidRDefault="00DB1BE0" w:rsidP="0098054E">
      <w:pPr>
        <w:spacing w:beforeLines="50" w:afterLines="50"/>
        <w:jc w:val="center"/>
        <w:rPr>
          <w:rFonts w:ascii="方正黑体_GBK" w:eastAsia="方正黑体_GBK"/>
          <w:sz w:val="32"/>
          <w:szCs w:val="32"/>
        </w:rPr>
      </w:pPr>
      <w:r w:rsidRPr="004E4C1A">
        <w:rPr>
          <w:rFonts w:ascii="方正黑体_GBK" w:eastAsia="方正黑体_GBK" w:hint="eastAsia"/>
          <w:sz w:val="32"/>
          <w:szCs w:val="32"/>
        </w:rPr>
        <w:lastRenderedPageBreak/>
        <w:t>目  录</w:t>
      </w:r>
      <w:bookmarkStart w:id="0" w:name="_GoBack"/>
      <w:bookmarkEnd w:id="0"/>
    </w:p>
    <w:p w:rsidR="004C6495" w:rsidRPr="004C6495" w:rsidRDefault="002811BE" w:rsidP="00FA5016">
      <w:pPr>
        <w:pStyle w:val="1"/>
        <w:tabs>
          <w:tab w:val="right" w:leader="dot" w:pos="8296"/>
        </w:tabs>
        <w:spacing w:line="560" w:lineRule="exact"/>
        <w:rPr>
          <w:rFonts w:asciiTheme="minorEastAsia" w:eastAsiaTheme="minorEastAsia" w:hAnsiTheme="minorEastAsia"/>
          <w:noProof/>
          <w:sz w:val="32"/>
          <w:szCs w:val="32"/>
        </w:rPr>
      </w:pPr>
      <w:r w:rsidRPr="004C6495">
        <w:rPr>
          <w:rFonts w:asciiTheme="minorEastAsia" w:eastAsiaTheme="minorEastAsia" w:hAnsiTheme="minorEastAsia"/>
          <w:sz w:val="32"/>
          <w:szCs w:val="32"/>
        </w:rPr>
        <w:fldChar w:fldCharType="begin"/>
      </w:r>
      <w:r w:rsidR="004C6495" w:rsidRPr="004C6495">
        <w:rPr>
          <w:rFonts w:asciiTheme="minorEastAsia" w:eastAsiaTheme="minorEastAsia" w:hAnsiTheme="minorEastAsia"/>
          <w:sz w:val="32"/>
          <w:szCs w:val="32"/>
        </w:rPr>
        <w:instrText xml:space="preserve"> </w:instrText>
      </w:r>
      <w:r w:rsidR="004C6495" w:rsidRPr="004C6495">
        <w:rPr>
          <w:rFonts w:asciiTheme="minorEastAsia" w:eastAsiaTheme="minorEastAsia" w:hAnsiTheme="minorEastAsia" w:hint="eastAsia"/>
          <w:sz w:val="32"/>
          <w:szCs w:val="32"/>
        </w:rPr>
        <w:instrText>TOC \o "1-2" \h \z \u</w:instrText>
      </w:r>
      <w:r w:rsidR="004C6495" w:rsidRPr="004C6495">
        <w:rPr>
          <w:rFonts w:asciiTheme="minorEastAsia" w:eastAsiaTheme="minorEastAsia" w:hAnsiTheme="minorEastAsia"/>
          <w:sz w:val="32"/>
          <w:szCs w:val="32"/>
        </w:rPr>
        <w:instrText xml:space="preserve"> </w:instrText>
      </w:r>
      <w:r w:rsidRPr="004C6495">
        <w:rPr>
          <w:rFonts w:asciiTheme="minorEastAsia" w:eastAsiaTheme="minorEastAsia" w:hAnsiTheme="minorEastAsia"/>
          <w:sz w:val="32"/>
          <w:szCs w:val="32"/>
        </w:rPr>
        <w:fldChar w:fldCharType="separate"/>
      </w:r>
      <w:hyperlink w:anchor="_Toc29308483" w:history="1">
        <w:r w:rsidR="004C6495" w:rsidRPr="004C6495">
          <w:rPr>
            <w:rStyle w:val="a9"/>
            <w:rFonts w:asciiTheme="minorEastAsia" w:eastAsiaTheme="minorEastAsia" w:hAnsiTheme="minorEastAsia" w:hint="eastAsia"/>
            <w:noProof/>
            <w:sz w:val="32"/>
            <w:szCs w:val="32"/>
          </w:rPr>
          <w:t>前</w:t>
        </w:r>
        <w:r w:rsidR="004C6495" w:rsidRPr="004C6495">
          <w:rPr>
            <w:rStyle w:val="a9"/>
            <w:rFonts w:asciiTheme="minorEastAsia" w:eastAsiaTheme="minorEastAsia" w:hAnsiTheme="minorEastAsia"/>
            <w:noProof/>
            <w:sz w:val="32"/>
            <w:szCs w:val="32"/>
          </w:rPr>
          <w:t xml:space="preserve">  </w:t>
        </w:r>
        <w:r w:rsidR="004C6495" w:rsidRPr="004C6495">
          <w:rPr>
            <w:rStyle w:val="a9"/>
            <w:rFonts w:asciiTheme="minorEastAsia" w:eastAsiaTheme="minorEastAsia" w:hAnsiTheme="minorEastAsia" w:hint="eastAsia"/>
            <w:noProof/>
            <w:sz w:val="32"/>
            <w:szCs w:val="32"/>
          </w:rPr>
          <w:t>言</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_Toc29308483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1"/>
        <w:tabs>
          <w:tab w:val="right" w:leader="dot" w:pos="8296"/>
        </w:tabs>
        <w:spacing w:line="560" w:lineRule="exact"/>
        <w:rPr>
          <w:rFonts w:asciiTheme="minorEastAsia" w:eastAsiaTheme="minorEastAsia" w:hAnsiTheme="minorEastAsia"/>
          <w:noProof/>
          <w:sz w:val="32"/>
          <w:szCs w:val="32"/>
        </w:rPr>
      </w:pPr>
      <w:hyperlink w:anchor="_Toc29308484" w:history="1">
        <w:r w:rsidR="004C6495" w:rsidRPr="004C6495">
          <w:rPr>
            <w:rStyle w:val="a9"/>
            <w:rFonts w:asciiTheme="minorEastAsia" w:eastAsiaTheme="minorEastAsia" w:hAnsiTheme="minorEastAsia" w:hint="eastAsia"/>
            <w:noProof/>
            <w:sz w:val="32"/>
            <w:szCs w:val="32"/>
          </w:rPr>
          <w:t>第一部分</w:t>
        </w:r>
        <w:r w:rsidR="004C6495" w:rsidRPr="004C6495">
          <w:rPr>
            <w:rStyle w:val="a9"/>
            <w:rFonts w:asciiTheme="minorEastAsia" w:eastAsiaTheme="minorEastAsia" w:hAnsiTheme="minorEastAsia"/>
            <w:noProof/>
            <w:sz w:val="32"/>
            <w:szCs w:val="32"/>
          </w:rPr>
          <w:t xml:space="preserve"> 2019</w:t>
        </w:r>
        <w:r w:rsidR="004C6495" w:rsidRPr="004C6495">
          <w:rPr>
            <w:rStyle w:val="a9"/>
            <w:rFonts w:asciiTheme="minorEastAsia" w:eastAsiaTheme="minorEastAsia" w:hAnsiTheme="minorEastAsia" w:hint="eastAsia"/>
            <w:noProof/>
            <w:sz w:val="32"/>
            <w:szCs w:val="32"/>
          </w:rPr>
          <w:t>届毕业生基本情况</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_Toc29308484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4</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85" w:history="1">
        <w:r w:rsidR="004C6495" w:rsidRPr="004C6495">
          <w:rPr>
            <w:rStyle w:val="a9"/>
            <w:rFonts w:asciiTheme="minorEastAsia" w:eastAsiaTheme="minorEastAsia" w:hAnsiTheme="minorEastAsia" w:cs="Helvetica" w:hint="eastAsia"/>
            <w:noProof/>
            <w:sz w:val="32"/>
            <w:szCs w:val="32"/>
          </w:rPr>
          <w:t>一、毕业生规模</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_Toc29308485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4</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86" w:history="1">
        <w:r w:rsidR="004C6495" w:rsidRPr="004C6495">
          <w:rPr>
            <w:rStyle w:val="a9"/>
            <w:rFonts w:asciiTheme="minorEastAsia" w:eastAsiaTheme="minorEastAsia" w:hAnsiTheme="minorEastAsia" w:cs="Helvetica" w:hint="eastAsia"/>
            <w:noProof/>
            <w:sz w:val="32"/>
            <w:szCs w:val="32"/>
          </w:rPr>
          <w:t>二、毕业生生源地分布情况</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_Toc29308486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4</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87" w:history="1">
        <w:r w:rsidR="004C6495" w:rsidRPr="004C6495">
          <w:rPr>
            <w:rStyle w:val="a9"/>
            <w:rFonts w:asciiTheme="minorEastAsia" w:eastAsiaTheme="minorEastAsia" w:hAnsiTheme="minorEastAsia" w:cs="Helvetica" w:hint="eastAsia"/>
            <w:noProof/>
            <w:sz w:val="32"/>
            <w:szCs w:val="32"/>
          </w:rPr>
          <w:t>三、各院系毕业生性别分布情况</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_Toc29308487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5</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88" w:history="1">
        <w:r w:rsidR="004C6495" w:rsidRPr="004C6495">
          <w:rPr>
            <w:rStyle w:val="a9"/>
            <w:rFonts w:asciiTheme="minorEastAsia" w:eastAsiaTheme="minorEastAsia" w:hAnsiTheme="minorEastAsia" w:cs="Helvetica" w:hint="eastAsia"/>
            <w:noProof/>
            <w:sz w:val="32"/>
            <w:szCs w:val="32"/>
          </w:rPr>
          <w:t>四、院系及专业结构</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_Toc29308488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5</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1"/>
        <w:tabs>
          <w:tab w:val="right" w:leader="dot" w:pos="8296"/>
        </w:tabs>
        <w:spacing w:line="560" w:lineRule="exact"/>
        <w:rPr>
          <w:rFonts w:asciiTheme="minorEastAsia" w:eastAsiaTheme="minorEastAsia" w:hAnsiTheme="minorEastAsia"/>
          <w:noProof/>
          <w:sz w:val="32"/>
          <w:szCs w:val="32"/>
        </w:rPr>
      </w:pPr>
      <w:hyperlink w:anchor="_Toc29308489" w:history="1">
        <w:r w:rsidR="004C6495" w:rsidRPr="004C6495">
          <w:rPr>
            <w:rStyle w:val="a9"/>
            <w:rFonts w:asciiTheme="minorEastAsia" w:eastAsiaTheme="minorEastAsia" w:hAnsiTheme="minorEastAsia" w:hint="eastAsia"/>
            <w:noProof/>
            <w:sz w:val="32"/>
            <w:szCs w:val="32"/>
          </w:rPr>
          <w:t>第二部分</w:t>
        </w:r>
        <w:r w:rsidR="004C6495" w:rsidRPr="004C6495">
          <w:rPr>
            <w:rStyle w:val="a9"/>
            <w:rFonts w:asciiTheme="minorEastAsia" w:eastAsiaTheme="minorEastAsia" w:hAnsiTheme="minorEastAsia"/>
            <w:noProof/>
            <w:sz w:val="32"/>
            <w:szCs w:val="32"/>
          </w:rPr>
          <w:t xml:space="preserve"> 2019</w:t>
        </w:r>
        <w:r w:rsidR="004C6495" w:rsidRPr="004C6495">
          <w:rPr>
            <w:rStyle w:val="a9"/>
            <w:rFonts w:asciiTheme="minorEastAsia" w:eastAsiaTheme="minorEastAsia" w:hAnsiTheme="minorEastAsia" w:hint="eastAsia"/>
            <w:noProof/>
            <w:sz w:val="32"/>
            <w:szCs w:val="32"/>
          </w:rPr>
          <w:t>届毕业生就业状况及毕业去向</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_Toc29308489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6</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0" w:history="1">
        <w:r w:rsidR="004C6495" w:rsidRPr="004C6495">
          <w:rPr>
            <w:rStyle w:val="a9"/>
            <w:rFonts w:asciiTheme="minorEastAsia" w:eastAsiaTheme="minorEastAsia" w:hAnsiTheme="minorEastAsia" w:cs="Helvetica" w:hint="eastAsia"/>
            <w:noProof/>
            <w:sz w:val="32"/>
            <w:szCs w:val="32"/>
          </w:rPr>
          <w:t>一、总体就业率及毕业去向</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_Toc29308490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6</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1" w:history="1">
        <w:r w:rsidR="004C6495" w:rsidRPr="004C6495">
          <w:rPr>
            <w:rStyle w:val="a9"/>
            <w:rFonts w:asciiTheme="minorEastAsia" w:eastAsiaTheme="minorEastAsia" w:hAnsiTheme="minorEastAsia" w:cs="Helvetica" w:hint="eastAsia"/>
            <w:noProof/>
            <w:sz w:val="32"/>
            <w:szCs w:val="32"/>
          </w:rPr>
          <w:t>二、各院系及专业的就业率</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_Toc29308491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6</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2" w:history="1">
        <w:r w:rsidR="004C6495" w:rsidRPr="004C6495">
          <w:rPr>
            <w:rStyle w:val="a9"/>
            <w:rFonts w:asciiTheme="minorEastAsia" w:eastAsiaTheme="minorEastAsia" w:hAnsiTheme="minorEastAsia" w:cs="Helvetica" w:hint="eastAsia"/>
            <w:noProof/>
            <w:sz w:val="32"/>
            <w:szCs w:val="32"/>
          </w:rPr>
          <w:t>三、毕业生就业流向</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_Toc29308492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7</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3" w:history="1">
        <w:r w:rsidR="004C6495" w:rsidRPr="004C6495">
          <w:rPr>
            <w:rStyle w:val="a9"/>
            <w:rFonts w:asciiTheme="minorEastAsia" w:eastAsiaTheme="minorEastAsia" w:hAnsiTheme="minorEastAsia" w:cs="Helvetica" w:hint="eastAsia"/>
            <w:noProof/>
            <w:sz w:val="32"/>
            <w:szCs w:val="32"/>
          </w:rPr>
          <w:t>四、未就业情况分析</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_Toc29308493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11</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1"/>
        <w:tabs>
          <w:tab w:val="right" w:leader="dot" w:pos="8296"/>
        </w:tabs>
        <w:spacing w:line="560" w:lineRule="exact"/>
        <w:rPr>
          <w:rFonts w:asciiTheme="minorEastAsia" w:eastAsiaTheme="minorEastAsia" w:hAnsiTheme="minorEastAsia"/>
          <w:noProof/>
          <w:sz w:val="32"/>
          <w:szCs w:val="32"/>
        </w:rPr>
      </w:pPr>
      <w:hyperlink w:anchor="_Toc29308494" w:history="1">
        <w:r w:rsidR="004C6495" w:rsidRPr="004C6495">
          <w:rPr>
            <w:rStyle w:val="a9"/>
            <w:rFonts w:asciiTheme="minorEastAsia" w:eastAsiaTheme="minorEastAsia" w:hAnsiTheme="minorEastAsia" w:hint="eastAsia"/>
            <w:noProof/>
            <w:sz w:val="32"/>
            <w:szCs w:val="32"/>
          </w:rPr>
          <w:t>第三部分</w:t>
        </w:r>
        <w:r w:rsidR="004C6495" w:rsidRPr="004C6495">
          <w:rPr>
            <w:rStyle w:val="a9"/>
            <w:rFonts w:asciiTheme="minorEastAsia" w:eastAsiaTheme="minorEastAsia" w:hAnsiTheme="minorEastAsia"/>
            <w:noProof/>
            <w:sz w:val="32"/>
            <w:szCs w:val="32"/>
          </w:rPr>
          <w:t xml:space="preserve"> </w:t>
        </w:r>
        <w:r w:rsidR="004C6495" w:rsidRPr="004C6495">
          <w:rPr>
            <w:rStyle w:val="a9"/>
            <w:rFonts w:asciiTheme="minorEastAsia" w:eastAsiaTheme="minorEastAsia" w:hAnsiTheme="minorEastAsia" w:hint="eastAsia"/>
            <w:noProof/>
            <w:sz w:val="32"/>
            <w:szCs w:val="32"/>
          </w:rPr>
          <w:t>学院就业工作开展情况</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_Toc29308494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11</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5" w:history="1">
        <w:r w:rsidR="004C6495" w:rsidRPr="004C6495">
          <w:rPr>
            <w:rStyle w:val="a9"/>
            <w:rFonts w:asciiTheme="minorEastAsia" w:eastAsiaTheme="minorEastAsia" w:hAnsiTheme="minorEastAsia" w:cs="Helvetica" w:hint="eastAsia"/>
            <w:noProof/>
            <w:sz w:val="32"/>
            <w:szCs w:val="32"/>
          </w:rPr>
          <w:t>一、加强组织领导，全面落实一把手工程</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_Toc29308495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12</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6" w:history="1">
        <w:r w:rsidR="004C6495" w:rsidRPr="004C6495">
          <w:rPr>
            <w:rStyle w:val="a9"/>
            <w:rFonts w:asciiTheme="minorEastAsia" w:eastAsiaTheme="minorEastAsia" w:hAnsiTheme="minorEastAsia" w:cs="Helvetica" w:hint="eastAsia"/>
            <w:noProof/>
            <w:sz w:val="32"/>
            <w:szCs w:val="32"/>
          </w:rPr>
          <w:t>二、注重就业宣传，拓展就业空间</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_Toc29308496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12</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7" w:history="1">
        <w:r w:rsidR="004C6495" w:rsidRPr="004C6495">
          <w:rPr>
            <w:rStyle w:val="a9"/>
            <w:rFonts w:asciiTheme="minorEastAsia" w:eastAsiaTheme="minorEastAsia" w:hAnsiTheme="minorEastAsia" w:cs="Helvetica" w:hint="eastAsia"/>
            <w:noProof/>
            <w:sz w:val="32"/>
            <w:szCs w:val="32"/>
          </w:rPr>
          <w:t>三、挖掘就业市场，合力推进就业工作</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_Toc29308497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13</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8" w:history="1">
        <w:r w:rsidR="004C6495" w:rsidRPr="004C6495">
          <w:rPr>
            <w:rStyle w:val="a9"/>
            <w:rFonts w:asciiTheme="minorEastAsia" w:eastAsiaTheme="minorEastAsia" w:hAnsiTheme="minorEastAsia" w:cs="Helvetica" w:hint="eastAsia"/>
            <w:noProof/>
            <w:sz w:val="32"/>
            <w:szCs w:val="32"/>
          </w:rPr>
          <w:t>四、提高优质就业率，稳步提升就业质量</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_Toc29308498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13</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499" w:history="1">
        <w:r w:rsidR="004C6495" w:rsidRPr="004C6495">
          <w:rPr>
            <w:rStyle w:val="a9"/>
            <w:rFonts w:asciiTheme="minorEastAsia" w:eastAsiaTheme="minorEastAsia" w:hAnsiTheme="minorEastAsia" w:cs="Helvetica" w:hint="eastAsia"/>
            <w:noProof/>
            <w:sz w:val="32"/>
            <w:szCs w:val="32"/>
          </w:rPr>
          <w:t>五、重视就业指导，强化就业服务</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_Toc29308499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14</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500" w:history="1">
        <w:r w:rsidR="004C6495" w:rsidRPr="004C6495">
          <w:rPr>
            <w:rStyle w:val="a9"/>
            <w:rFonts w:asciiTheme="minorEastAsia" w:eastAsiaTheme="minorEastAsia" w:hAnsiTheme="minorEastAsia" w:cs="Helvetica" w:hint="eastAsia"/>
            <w:noProof/>
            <w:sz w:val="32"/>
            <w:szCs w:val="32"/>
          </w:rPr>
          <w:t>六、关注困难群体，做好就业帮扶工作</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_Toc29308500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14</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501" w:history="1">
        <w:r w:rsidR="004C6495" w:rsidRPr="004C6495">
          <w:rPr>
            <w:rStyle w:val="a9"/>
            <w:rFonts w:asciiTheme="minorEastAsia" w:eastAsiaTheme="minorEastAsia" w:hAnsiTheme="minorEastAsia" w:cs="Helvetica" w:hint="eastAsia"/>
            <w:noProof/>
            <w:sz w:val="32"/>
            <w:szCs w:val="32"/>
          </w:rPr>
          <w:t>七、健全就业指导课程，提升就业服务质量</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_Toc29308501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15</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502" w:history="1">
        <w:r w:rsidR="004C6495" w:rsidRPr="004C6495">
          <w:rPr>
            <w:rStyle w:val="a9"/>
            <w:rFonts w:asciiTheme="minorEastAsia" w:eastAsiaTheme="minorEastAsia" w:hAnsiTheme="minorEastAsia" w:cs="Helvetica" w:hint="eastAsia"/>
            <w:noProof/>
            <w:sz w:val="32"/>
            <w:szCs w:val="32"/>
          </w:rPr>
          <w:t>八、以大赛促实践，以实践推动大赛</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_Toc29308502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15</w:t>
        </w:r>
        <w:r w:rsidRPr="004C6495">
          <w:rPr>
            <w:rFonts w:asciiTheme="minorEastAsia" w:eastAsiaTheme="minorEastAsia" w:hAnsiTheme="minorEastAsia"/>
            <w:noProof/>
            <w:webHidden/>
            <w:sz w:val="32"/>
            <w:szCs w:val="32"/>
          </w:rPr>
          <w:fldChar w:fldCharType="end"/>
        </w:r>
      </w:hyperlink>
    </w:p>
    <w:p w:rsidR="004C6495" w:rsidRPr="004C6495" w:rsidRDefault="002811BE" w:rsidP="00FA5016">
      <w:pPr>
        <w:pStyle w:val="20"/>
        <w:tabs>
          <w:tab w:val="right" w:leader="dot" w:pos="8296"/>
        </w:tabs>
        <w:spacing w:line="560" w:lineRule="exact"/>
        <w:ind w:leftChars="0" w:left="0"/>
        <w:rPr>
          <w:rFonts w:asciiTheme="minorEastAsia" w:eastAsiaTheme="minorEastAsia" w:hAnsiTheme="minorEastAsia"/>
          <w:noProof/>
          <w:sz w:val="32"/>
          <w:szCs w:val="32"/>
        </w:rPr>
      </w:pPr>
      <w:hyperlink w:anchor="_Toc29308503" w:history="1">
        <w:r w:rsidR="004C6495" w:rsidRPr="004C6495">
          <w:rPr>
            <w:rStyle w:val="a9"/>
            <w:rFonts w:asciiTheme="minorEastAsia" w:eastAsiaTheme="minorEastAsia" w:hAnsiTheme="minorEastAsia" w:cs="Helvetica" w:hint="eastAsia"/>
            <w:noProof/>
            <w:sz w:val="32"/>
            <w:szCs w:val="32"/>
          </w:rPr>
          <w:t>九、建设双创基地，打造双创实践环境</w:t>
        </w:r>
        <w:r w:rsidR="004C6495" w:rsidRPr="004C6495">
          <w:rPr>
            <w:rFonts w:asciiTheme="minorEastAsia" w:eastAsiaTheme="minorEastAsia" w:hAnsiTheme="minorEastAsia"/>
            <w:noProof/>
            <w:webHidden/>
            <w:sz w:val="32"/>
            <w:szCs w:val="32"/>
          </w:rPr>
          <w:tab/>
        </w:r>
        <w:r w:rsidRPr="004C6495">
          <w:rPr>
            <w:rFonts w:asciiTheme="minorEastAsia" w:eastAsiaTheme="minorEastAsia" w:hAnsiTheme="minorEastAsia"/>
            <w:noProof/>
            <w:webHidden/>
            <w:sz w:val="32"/>
            <w:szCs w:val="32"/>
          </w:rPr>
          <w:fldChar w:fldCharType="begin"/>
        </w:r>
        <w:r w:rsidR="004C6495" w:rsidRPr="004C6495">
          <w:rPr>
            <w:rFonts w:asciiTheme="minorEastAsia" w:eastAsiaTheme="minorEastAsia" w:hAnsiTheme="minorEastAsia"/>
            <w:noProof/>
            <w:webHidden/>
            <w:sz w:val="32"/>
            <w:szCs w:val="32"/>
          </w:rPr>
          <w:instrText xml:space="preserve"> PAGEREF _Toc29308503 \h </w:instrText>
        </w:r>
        <w:r w:rsidRPr="004C6495">
          <w:rPr>
            <w:rFonts w:asciiTheme="minorEastAsia" w:eastAsiaTheme="minorEastAsia" w:hAnsiTheme="minorEastAsia"/>
            <w:noProof/>
            <w:webHidden/>
            <w:sz w:val="32"/>
            <w:szCs w:val="32"/>
          </w:rPr>
        </w:r>
        <w:r w:rsidRPr="004C6495">
          <w:rPr>
            <w:rFonts w:asciiTheme="minorEastAsia" w:eastAsiaTheme="minorEastAsia" w:hAnsiTheme="minorEastAsia"/>
            <w:noProof/>
            <w:webHidden/>
            <w:sz w:val="32"/>
            <w:szCs w:val="32"/>
          </w:rPr>
          <w:fldChar w:fldCharType="separate"/>
        </w:r>
        <w:r w:rsidR="004E74BB">
          <w:rPr>
            <w:rFonts w:asciiTheme="minorEastAsia" w:eastAsiaTheme="minorEastAsia" w:hAnsiTheme="minorEastAsia"/>
            <w:noProof/>
            <w:webHidden/>
            <w:sz w:val="32"/>
            <w:szCs w:val="32"/>
          </w:rPr>
          <w:t>17</w:t>
        </w:r>
        <w:r w:rsidRPr="004C6495">
          <w:rPr>
            <w:rFonts w:asciiTheme="minorEastAsia" w:eastAsiaTheme="minorEastAsia" w:hAnsiTheme="minorEastAsia"/>
            <w:noProof/>
            <w:webHidden/>
            <w:sz w:val="32"/>
            <w:szCs w:val="32"/>
          </w:rPr>
          <w:fldChar w:fldCharType="end"/>
        </w:r>
      </w:hyperlink>
    </w:p>
    <w:p w:rsidR="00DB1BE0" w:rsidRPr="004C6495" w:rsidRDefault="002811BE" w:rsidP="00FA5016">
      <w:pPr>
        <w:spacing w:line="560" w:lineRule="exact"/>
        <w:rPr>
          <w:rFonts w:asciiTheme="minorEastAsia" w:eastAsiaTheme="minorEastAsia" w:hAnsiTheme="minorEastAsia"/>
          <w:sz w:val="24"/>
        </w:rPr>
      </w:pPr>
      <w:r w:rsidRPr="004C6495">
        <w:rPr>
          <w:rFonts w:asciiTheme="minorEastAsia" w:eastAsiaTheme="minorEastAsia" w:hAnsiTheme="minorEastAsia"/>
          <w:sz w:val="32"/>
          <w:szCs w:val="32"/>
        </w:rPr>
        <w:fldChar w:fldCharType="end"/>
      </w:r>
    </w:p>
    <w:p w:rsidR="00A249ED" w:rsidRPr="004C6495" w:rsidRDefault="00A249ED" w:rsidP="004C6495">
      <w:pPr>
        <w:spacing w:line="360" w:lineRule="auto"/>
        <w:rPr>
          <w:rFonts w:asciiTheme="minorEastAsia" w:eastAsiaTheme="minorEastAsia" w:hAnsiTheme="minorEastAsia"/>
          <w:sz w:val="24"/>
        </w:rPr>
        <w:sectPr w:rsidR="00A249ED" w:rsidRPr="004C6495">
          <w:pgSz w:w="11906" w:h="16838"/>
          <w:pgMar w:top="1440" w:right="1800" w:bottom="1440" w:left="1800" w:header="851" w:footer="992" w:gutter="0"/>
          <w:cols w:space="425"/>
          <w:docGrid w:type="lines" w:linePitch="312"/>
        </w:sectPr>
      </w:pPr>
    </w:p>
    <w:p w:rsidR="00A249ED" w:rsidRPr="004E4C1A" w:rsidRDefault="00A249ED" w:rsidP="0098054E">
      <w:pPr>
        <w:spacing w:beforeLines="50" w:afterLines="50"/>
        <w:jc w:val="center"/>
        <w:outlineLvl w:val="0"/>
        <w:rPr>
          <w:rFonts w:ascii="方正黑体_GBK" w:eastAsia="方正黑体_GBK"/>
          <w:sz w:val="32"/>
          <w:szCs w:val="32"/>
        </w:rPr>
      </w:pPr>
      <w:bookmarkStart w:id="1" w:name="_Toc29308483"/>
      <w:r w:rsidRPr="004E4C1A">
        <w:rPr>
          <w:rFonts w:ascii="方正黑体_GBK" w:eastAsia="方正黑体_GBK" w:hint="eastAsia"/>
          <w:sz w:val="32"/>
          <w:szCs w:val="32"/>
        </w:rPr>
        <w:lastRenderedPageBreak/>
        <w:t>前  言</w:t>
      </w:r>
      <w:bookmarkEnd w:id="1"/>
    </w:p>
    <w:p w:rsidR="00A249ED" w:rsidRPr="004E4C1A" w:rsidRDefault="00A249ED" w:rsidP="00F85788"/>
    <w:p w:rsidR="00A249ED" w:rsidRPr="004E4C1A" w:rsidRDefault="00A249ED"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重庆建筑工程职业学院建校于1956年，是重庆市优质高等职业院校立项建设单位，重庆市专本贯通试点单位，教育部首批建筑信息模型（BIM）1+X证书制度试点院校，重庆市第一批智慧校园建设示范学校、职业院校数字校园建设实验校，教育部2018年度网络学习空间应用普及活动优秀学校。学院始终秉承“厚德、笃学、求实、创新”的校训，始终坚持“习学相融，知行统一，培育建筑英才，服务城乡发展”的理念，充分彰显城乡建设行业特色，先后为国家输送了近7万名高素质技能型的技术精英、管理能手和经营骨干。</w:t>
      </w:r>
    </w:p>
    <w:p w:rsidR="00A249ED" w:rsidRPr="004E4C1A" w:rsidRDefault="00A249ED"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学院位于重庆市主城南岸区茶园新区，占地520余亩，现有在校学生8300余人。学院有国家级、市级重点实训基地9个，相对稳定的校外实训实习基地70余个。2013年建成重庆市高职院校首个工程体验馆，2015年建成重庆市高职院校首个BIM实训中心， 2017年建成VR实训基地。目前正在建设3.2万平米的综合实训基地和1万平米的建筑产业现代化实训基地。</w:t>
      </w:r>
    </w:p>
    <w:p w:rsidR="00A249ED" w:rsidRPr="004E4C1A" w:rsidRDefault="00A249ED"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学院师资力量雄厚。现有教职工</w:t>
      </w:r>
      <w:r w:rsidR="00D328CE" w:rsidRPr="004E4C1A">
        <w:rPr>
          <w:rFonts w:ascii="方正仿宋_GBK" w:eastAsia="方正仿宋_GBK" w:hint="eastAsia"/>
          <w:sz w:val="32"/>
          <w:szCs w:val="32"/>
        </w:rPr>
        <w:t>近400人</w:t>
      </w:r>
      <w:r w:rsidRPr="004E4C1A">
        <w:rPr>
          <w:rFonts w:ascii="方正仿宋_GBK" w:eastAsia="方正仿宋_GBK" w:hint="eastAsia"/>
          <w:sz w:val="32"/>
          <w:szCs w:val="32"/>
        </w:rPr>
        <w:t>，</w:t>
      </w:r>
      <w:r w:rsidR="003568F6" w:rsidRPr="004E4C1A">
        <w:rPr>
          <w:rFonts w:ascii="方正仿宋_GBK" w:eastAsia="方正仿宋_GBK" w:hint="eastAsia"/>
          <w:sz w:val="32"/>
          <w:szCs w:val="32"/>
        </w:rPr>
        <w:t>在专任教师中，高级职称教师占比约占比35.3%，硕士及以上学历教师占比51.9%。专业课教师大部分具有一级注册结构工程师、一级注册建造师、注册造价工程师、注册咨询工程师、注册</w:t>
      </w:r>
      <w:r w:rsidR="003568F6" w:rsidRPr="004E4C1A">
        <w:rPr>
          <w:rFonts w:ascii="方正仿宋_GBK" w:eastAsia="方正仿宋_GBK" w:hint="eastAsia"/>
          <w:sz w:val="32"/>
          <w:szCs w:val="32"/>
        </w:rPr>
        <w:lastRenderedPageBreak/>
        <w:t>监理工程师等执业资格证书和丰富的从业经历。</w:t>
      </w:r>
      <w:r w:rsidRPr="004E4C1A">
        <w:rPr>
          <w:rFonts w:ascii="方正仿宋_GBK" w:eastAsia="方正仿宋_GBK" w:hint="eastAsia"/>
          <w:sz w:val="32"/>
          <w:szCs w:val="32"/>
        </w:rPr>
        <w:t>我院依托建筑工程技术、建筑设计、工程造价等专业骨干教师组建的建筑信息模型制作与应用领域的教学创新团队入选首批国家级职业教育教师教学创新团队立项建设单位。</w:t>
      </w:r>
    </w:p>
    <w:p w:rsidR="00A249ED" w:rsidRPr="004E4C1A" w:rsidRDefault="00A249ED"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学院专业结构合理</w:t>
      </w:r>
      <w:r w:rsidR="0098054E">
        <w:rPr>
          <w:rFonts w:ascii="方正仿宋_GBK" w:eastAsia="方正仿宋_GBK" w:hint="eastAsia"/>
          <w:sz w:val="32"/>
          <w:szCs w:val="32"/>
        </w:rPr>
        <w:t>，有</w:t>
      </w:r>
      <w:r w:rsidRPr="004E4C1A">
        <w:rPr>
          <w:rFonts w:ascii="方正仿宋_GBK" w:eastAsia="方正仿宋_GBK" w:hint="eastAsia"/>
          <w:sz w:val="32"/>
          <w:szCs w:val="32"/>
        </w:rPr>
        <w:t>全国职业院校示范专业（交通运输类）1个，中央财政支持重点建设专业2个，重庆市高等职业院校骨干专业7个，院级特色专业9个。其中，建筑钢结构工程技术、土木工程检测技术、安全技术与管理、建设项目信息化管理、村镇建设与管理、建筑电气工程技术、地下与隧道工程技术、港口与航道工程技术等专业，填补了重庆高职院校专业设置的空白。近三年，学院在国家及省部级技能竞赛中获奖200余项，充分彰显了“以赛促教” “以赛促学”的办学特色。</w:t>
      </w:r>
    </w:p>
    <w:p w:rsidR="00A249ED" w:rsidRPr="004E4C1A" w:rsidRDefault="00A249ED"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学院科技服务能力强。拥有重庆市高等职业技术院校装配式建筑应用技术推广中心、山地城市智能道路检测重庆市高校工程中心两个市级科技创新平台。重庆市建筑产业化工程技术研究中心落户学院，入选重庆市首批装配式建筑产业基地名单（培训类）。在装配式建筑、BIM技术应用、VR技术与应用、海绵城市、路桥与市政工程、轨道交通等领域取得了一批有影响力的成果，先后获得多项省部级科技奖励、国家专利、标准和工法。开展包括行业职业证书、特种设备、BIM等15个项目的技术技能培训，培训规模达到1.4万人次</w:t>
      </w:r>
      <w:r w:rsidRPr="004E4C1A">
        <w:rPr>
          <w:rFonts w:ascii="方正仿宋_GBK" w:eastAsia="方正仿宋_GBK" w:hint="eastAsia"/>
          <w:sz w:val="32"/>
          <w:szCs w:val="32"/>
        </w:rPr>
        <w:lastRenderedPageBreak/>
        <w:t>/年。</w:t>
      </w:r>
    </w:p>
    <w:p w:rsidR="00A249ED" w:rsidRPr="004E4C1A" w:rsidRDefault="00A249ED"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学院深度推进产教融合。牵头成立重庆市智能建造职业教育集团，与中交集团、重庆建工集团、重庆市轨道交通（集团）、重庆市建筑科学研究院、金科地</w:t>
      </w:r>
      <w:r w:rsidR="0098054E">
        <w:rPr>
          <w:rFonts w:ascii="方正仿宋_GBK" w:eastAsia="方正仿宋_GBK" w:hint="eastAsia"/>
          <w:sz w:val="32"/>
          <w:szCs w:val="32"/>
        </w:rPr>
        <w:t>产集团、重庆中科建设集团、重庆新龙湖物业、重庆广建装饰股份公司</w:t>
      </w:r>
      <w:r w:rsidRPr="004E4C1A">
        <w:rPr>
          <w:rFonts w:ascii="方正仿宋_GBK" w:eastAsia="方正仿宋_GBK" w:hint="eastAsia"/>
          <w:sz w:val="32"/>
          <w:szCs w:val="32"/>
        </w:rPr>
        <w:t>等国内外知名企业进行深度合作，开展订单、定向等方式培养人才，形成鲜明的行业品牌特色。多年来，学院</w:t>
      </w:r>
      <w:r w:rsidR="0025549D" w:rsidRPr="004E4C1A">
        <w:rPr>
          <w:rFonts w:ascii="方正仿宋_GBK" w:eastAsia="方正仿宋_GBK" w:hint="eastAsia"/>
          <w:sz w:val="32"/>
          <w:szCs w:val="32"/>
        </w:rPr>
        <w:t>毕业生得到用人单位的好评，就业率</w:t>
      </w:r>
      <w:r w:rsidRPr="004E4C1A">
        <w:rPr>
          <w:rFonts w:ascii="方正仿宋_GBK" w:eastAsia="方正仿宋_GBK" w:hint="eastAsia"/>
          <w:sz w:val="32"/>
          <w:szCs w:val="32"/>
        </w:rPr>
        <w:t>保持在96%以上，优质就业率稳步提升。</w:t>
      </w:r>
    </w:p>
    <w:p w:rsidR="00A249ED" w:rsidRPr="004E4C1A" w:rsidRDefault="00A249ED"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学院积极开展国际交流合作。与澳大利亚高登职业技术学院举办建筑工程技术专业国际合作办学，与新西兰国立理工学院开展学分互认，与新西兰霍姆斯格兰政府理工学院、马来西亚工业发展局（CIDB）及澳大利亚TAFE QUEENSLAND签订合作备忘录。2019年开始招收国际留学生。</w:t>
      </w:r>
    </w:p>
    <w:p w:rsidR="00F85788" w:rsidRPr="004E4C1A" w:rsidRDefault="00A249ED" w:rsidP="00F85788">
      <w:pPr>
        <w:ind w:firstLineChars="200" w:firstLine="640"/>
        <w:jc w:val="left"/>
        <w:rPr>
          <w:rFonts w:ascii="方正仿宋_GBK" w:eastAsia="方正仿宋_GBK"/>
          <w:sz w:val="32"/>
          <w:szCs w:val="32"/>
        </w:rPr>
        <w:sectPr w:rsidR="00F85788" w:rsidRPr="004E4C1A" w:rsidSect="004E74BB">
          <w:footerReference w:type="default" r:id="rId10"/>
          <w:pgSz w:w="11906" w:h="16838"/>
          <w:pgMar w:top="1440" w:right="1800" w:bottom="1440" w:left="1800" w:header="851" w:footer="992" w:gutter="0"/>
          <w:pgNumType w:start="1"/>
          <w:cols w:space="425"/>
          <w:docGrid w:type="lines" w:linePitch="312"/>
        </w:sectPr>
      </w:pPr>
      <w:r w:rsidRPr="004E4C1A">
        <w:rPr>
          <w:rFonts w:ascii="方正仿宋_GBK" w:eastAsia="方正仿宋_GBK" w:hint="eastAsia"/>
          <w:sz w:val="32"/>
          <w:szCs w:val="32"/>
        </w:rPr>
        <w:t>学院先后获评重庆市“文明单位”、重庆市“教育系统先进集体”、中国建筑业协会“建造师继续教育培训先进单位”。</w:t>
      </w:r>
    </w:p>
    <w:p w:rsidR="00DB1BE0" w:rsidRPr="004E4C1A" w:rsidRDefault="00F85788" w:rsidP="0098054E">
      <w:pPr>
        <w:spacing w:beforeLines="50" w:afterLines="50"/>
        <w:jc w:val="center"/>
        <w:outlineLvl w:val="0"/>
        <w:rPr>
          <w:rFonts w:ascii="方正黑体_GBK" w:eastAsia="方正黑体_GBK"/>
          <w:sz w:val="32"/>
          <w:szCs w:val="32"/>
        </w:rPr>
      </w:pPr>
      <w:bookmarkStart w:id="2" w:name="_Toc29308484"/>
      <w:r w:rsidRPr="004E4C1A">
        <w:rPr>
          <w:rFonts w:ascii="方正黑体_GBK" w:eastAsia="方正黑体_GBK" w:hint="eastAsia"/>
          <w:sz w:val="32"/>
          <w:szCs w:val="32"/>
        </w:rPr>
        <w:lastRenderedPageBreak/>
        <w:t>第一部分 201</w:t>
      </w:r>
      <w:r w:rsidRPr="004E4C1A">
        <w:rPr>
          <w:rFonts w:ascii="方正黑体_GBK" w:eastAsia="方正黑体_GBK"/>
          <w:sz w:val="32"/>
          <w:szCs w:val="32"/>
        </w:rPr>
        <w:t>9</w:t>
      </w:r>
      <w:r w:rsidRPr="004E4C1A">
        <w:rPr>
          <w:rFonts w:ascii="方正黑体_GBK" w:eastAsia="方正黑体_GBK" w:hint="eastAsia"/>
          <w:sz w:val="32"/>
          <w:szCs w:val="32"/>
        </w:rPr>
        <w:t>届毕业生基本情况</w:t>
      </w:r>
      <w:bookmarkEnd w:id="2"/>
    </w:p>
    <w:p w:rsidR="00F85788" w:rsidRPr="004E4C1A" w:rsidRDefault="00F85788" w:rsidP="0098054E">
      <w:pPr>
        <w:spacing w:beforeLines="50" w:afterLines="50"/>
        <w:outlineLvl w:val="1"/>
        <w:rPr>
          <w:rFonts w:ascii="方正楷体简体" w:eastAsia="方正楷体简体" w:hAnsi="Helvetica" w:cs="Helvetica"/>
          <w:b/>
          <w:sz w:val="32"/>
          <w:szCs w:val="32"/>
        </w:rPr>
      </w:pPr>
      <w:bookmarkStart w:id="3" w:name="_Toc29308485"/>
      <w:r w:rsidRPr="004E4C1A">
        <w:rPr>
          <w:rFonts w:ascii="方正楷体简体" w:eastAsia="方正楷体简体" w:hAnsi="Helvetica" w:cs="Helvetica" w:hint="eastAsia"/>
          <w:b/>
          <w:sz w:val="32"/>
          <w:szCs w:val="32"/>
        </w:rPr>
        <w:t>一、毕业生规模</w:t>
      </w:r>
      <w:bookmarkEnd w:id="3"/>
    </w:p>
    <w:p w:rsidR="00F85788" w:rsidRPr="004E4C1A" w:rsidRDefault="00F85788" w:rsidP="00F85788">
      <w:pPr>
        <w:ind w:firstLineChars="200" w:firstLine="640"/>
        <w:jc w:val="left"/>
        <w:rPr>
          <w:rFonts w:ascii="方正仿宋_GBK" w:eastAsia="方正仿宋_GBK"/>
          <w:sz w:val="32"/>
          <w:szCs w:val="32"/>
        </w:rPr>
      </w:pPr>
      <w:bookmarkStart w:id="4" w:name="_Hlk29286507"/>
      <w:r w:rsidRPr="004E4C1A">
        <w:rPr>
          <w:rFonts w:ascii="方正仿宋_GBK" w:eastAsia="方正仿宋_GBK" w:hint="eastAsia"/>
          <w:sz w:val="32"/>
          <w:szCs w:val="32"/>
        </w:rPr>
        <w:t>我院201</w:t>
      </w:r>
      <w:r w:rsidRPr="004E4C1A">
        <w:rPr>
          <w:rFonts w:ascii="方正仿宋_GBK" w:eastAsia="方正仿宋_GBK"/>
          <w:sz w:val="32"/>
          <w:szCs w:val="32"/>
        </w:rPr>
        <w:t>9</w:t>
      </w:r>
      <w:r w:rsidRPr="004E4C1A">
        <w:rPr>
          <w:rFonts w:ascii="方正仿宋_GBK" w:eastAsia="方正仿宋_GBK" w:hint="eastAsia"/>
          <w:sz w:val="32"/>
          <w:szCs w:val="32"/>
        </w:rPr>
        <w:t>届毕业生2</w:t>
      </w:r>
      <w:r w:rsidRPr="004E4C1A">
        <w:rPr>
          <w:rFonts w:ascii="方正仿宋_GBK" w:eastAsia="方正仿宋_GBK"/>
          <w:sz w:val="32"/>
          <w:szCs w:val="32"/>
        </w:rPr>
        <w:t>42</w:t>
      </w:r>
      <w:r w:rsidRPr="004E4C1A">
        <w:rPr>
          <w:rFonts w:ascii="方正仿宋_GBK" w:eastAsia="方正仿宋_GBK" w:hint="eastAsia"/>
          <w:sz w:val="32"/>
          <w:szCs w:val="32"/>
        </w:rPr>
        <w:t>2人，来自2</w:t>
      </w:r>
      <w:r w:rsidRPr="004E4C1A">
        <w:rPr>
          <w:rFonts w:ascii="方正仿宋_GBK" w:eastAsia="方正仿宋_GBK"/>
          <w:sz w:val="32"/>
          <w:szCs w:val="32"/>
        </w:rPr>
        <w:t>2</w:t>
      </w:r>
      <w:r w:rsidRPr="004E4C1A">
        <w:rPr>
          <w:rFonts w:ascii="方正仿宋_GBK" w:eastAsia="方正仿宋_GBK" w:hint="eastAsia"/>
          <w:sz w:val="32"/>
          <w:szCs w:val="32"/>
        </w:rPr>
        <w:t>个专业。根据统计数据，学院毕业生人数逐年增长。近四年毕业生人数如</w:t>
      </w:r>
      <w:r w:rsidR="00054519" w:rsidRPr="004E4C1A">
        <w:rPr>
          <w:rFonts w:ascii="方正仿宋_GBK" w:eastAsia="方正仿宋_GBK" w:hint="eastAsia"/>
          <w:sz w:val="32"/>
          <w:szCs w:val="32"/>
        </w:rPr>
        <w:t>图</w:t>
      </w:r>
      <w:r w:rsidRPr="004E4C1A">
        <w:rPr>
          <w:rFonts w:ascii="方正仿宋_GBK" w:eastAsia="方正仿宋_GBK" w:hint="eastAsia"/>
          <w:sz w:val="32"/>
          <w:szCs w:val="32"/>
        </w:rPr>
        <w:t>1-1所示：</w:t>
      </w:r>
    </w:p>
    <w:p w:rsidR="00F85788" w:rsidRPr="004E4C1A" w:rsidRDefault="00F85788" w:rsidP="00F85788">
      <w:pPr>
        <w:rPr>
          <w:rFonts w:ascii="方正仿宋_GBK" w:eastAsia="方正仿宋_GBK" w:hAnsi="Helvetica" w:cs="Helvetica"/>
          <w:sz w:val="24"/>
        </w:rPr>
      </w:pPr>
      <w:r w:rsidRPr="004E4C1A">
        <w:rPr>
          <w:rFonts w:ascii="方正仿宋_GBK" w:eastAsia="方正仿宋_GBK" w:hAnsi="Helvetica" w:cs="Helvetica"/>
          <w:noProof/>
          <w:sz w:val="24"/>
        </w:rPr>
        <w:drawing>
          <wp:inline distT="0" distB="0" distL="0" distR="0">
            <wp:extent cx="5286375" cy="3095625"/>
            <wp:effectExtent l="0" t="0" r="9525" b="9525"/>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4"/>
    </w:p>
    <w:p w:rsidR="00F85788" w:rsidRPr="004E4C1A" w:rsidRDefault="00F85788" w:rsidP="00F85788">
      <w:pPr>
        <w:rPr>
          <w:rFonts w:ascii="方正仿宋_GBK" w:eastAsia="方正仿宋_GBK" w:hAnsi="Helvetica" w:cs="Helvetica"/>
          <w:sz w:val="32"/>
          <w:szCs w:val="32"/>
        </w:rPr>
      </w:pPr>
    </w:p>
    <w:p w:rsidR="00F85788" w:rsidRPr="004E4C1A" w:rsidRDefault="00F85788" w:rsidP="0098054E">
      <w:pPr>
        <w:spacing w:beforeLines="50" w:afterLines="50"/>
        <w:outlineLvl w:val="1"/>
        <w:rPr>
          <w:rFonts w:ascii="方正楷体简体" w:eastAsia="方正楷体简体" w:hAnsi="Helvetica" w:cs="Helvetica"/>
          <w:b/>
          <w:sz w:val="32"/>
          <w:szCs w:val="32"/>
        </w:rPr>
      </w:pPr>
      <w:bookmarkStart w:id="5" w:name="_Toc29308486"/>
      <w:r w:rsidRPr="004E4C1A">
        <w:rPr>
          <w:rFonts w:ascii="方正楷体简体" w:eastAsia="方正楷体简体" w:hAnsi="Helvetica" w:cs="Helvetica" w:hint="eastAsia"/>
          <w:b/>
          <w:sz w:val="32"/>
          <w:szCs w:val="32"/>
        </w:rPr>
        <w:t>二、</w:t>
      </w:r>
      <w:bookmarkStart w:id="6" w:name="_Hlk29286731"/>
      <w:r w:rsidRPr="004E4C1A">
        <w:rPr>
          <w:rFonts w:ascii="方正楷体简体" w:eastAsia="方正楷体简体" w:hAnsi="Helvetica" w:cs="Helvetica" w:hint="eastAsia"/>
          <w:b/>
          <w:sz w:val="32"/>
          <w:szCs w:val="32"/>
        </w:rPr>
        <w:t>毕业生生源地分布情况</w:t>
      </w:r>
      <w:bookmarkEnd w:id="5"/>
      <w:bookmarkEnd w:id="6"/>
    </w:p>
    <w:p w:rsidR="00F85788" w:rsidRPr="004E4C1A" w:rsidRDefault="00F85788" w:rsidP="00F85788">
      <w:pPr>
        <w:ind w:firstLineChars="200" w:firstLine="480"/>
        <w:jc w:val="left"/>
        <w:rPr>
          <w:rFonts w:ascii="方正仿宋_GBK" w:eastAsia="方正仿宋_GBK"/>
          <w:sz w:val="32"/>
          <w:szCs w:val="32"/>
        </w:rPr>
      </w:pPr>
      <w:r w:rsidRPr="004E4C1A">
        <w:rPr>
          <w:rFonts w:ascii="方正仿宋_GBK" w:eastAsia="方正仿宋_GBK" w:hAnsi="Helvetica" w:cs="Helvetica" w:hint="eastAsia"/>
          <w:sz w:val="24"/>
        </w:rPr>
        <w:t xml:space="preserve">   </w:t>
      </w:r>
      <w:r w:rsidRPr="004E4C1A">
        <w:rPr>
          <w:rFonts w:ascii="方正仿宋_GBK" w:eastAsia="方正仿宋_GBK" w:hint="eastAsia"/>
          <w:sz w:val="32"/>
          <w:szCs w:val="32"/>
        </w:rPr>
        <w:t>我院201</w:t>
      </w:r>
      <w:r w:rsidRPr="004E4C1A">
        <w:rPr>
          <w:rFonts w:ascii="方正仿宋_GBK" w:eastAsia="方正仿宋_GBK"/>
          <w:sz w:val="32"/>
          <w:szCs w:val="32"/>
        </w:rPr>
        <w:t>9</w:t>
      </w:r>
      <w:r w:rsidRPr="004E4C1A">
        <w:rPr>
          <w:rFonts w:ascii="方正仿宋_GBK" w:eastAsia="方正仿宋_GBK" w:hint="eastAsia"/>
          <w:sz w:val="32"/>
          <w:szCs w:val="32"/>
        </w:rPr>
        <w:t>届毕业生总人数2</w:t>
      </w:r>
      <w:r w:rsidRPr="004E4C1A">
        <w:rPr>
          <w:rFonts w:ascii="方正仿宋_GBK" w:eastAsia="方正仿宋_GBK"/>
          <w:sz w:val="32"/>
          <w:szCs w:val="32"/>
        </w:rPr>
        <w:t>422</w:t>
      </w:r>
      <w:r w:rsidRPr="004E4C1A">
        <w:rPr>
          <w:rFonts w:ascii="方正仿宋_GBK" w:eastAsia="方正仿宋_GBK" w:hint="eastAsia"/>
          <w:sz w:val="32"/>
          <w:szCs w:val="32"/>
        </w:rPr>
        <w:t>人，分别来自全国1</w:t>
      </w:r>
      <w:r w:rsidRPr="004E4C1A">
        <w:rPr>
          <w:rFonts w:ascii="方正仿宋_GBK" w:eastAsia="方正仿宋_GBK"/>
          <w:sz w:val="32"/>
          <w:szCs w:val="32"/>
        </w:rPr>
        <w:t>0</w:t>
      </w:r>
      <w:r w:rsidRPr="004E4C1A">
        <w:rPr>
          <w:rFonts w:ascii="方正仿宋_GBK" w:eastAsia="方正仿宋_GBK" w:hint="eastAsia"/>
          <w:sz w:val="32"/>
          <w:szCs w:val="32"/>
        </w:rPr>
        <w:t>个省（直辖市、自治区）。其中重庆生源人数1</w:t>
      </w:r>
      <w:r w:rsidRPr="004E4C1A">
        <w:rPr>
          <w:rFonts w:ascii="方正仿宋_GBK" w:eastAsia="方正仿宋_GBK"/>
          <w:sz w:val="32"/>
          <w:szCs w:val="32"/>
        </w:rPr>
        <w:t>804</w:t>
      </w:r>
      <w:r w:rsidRPr="004E4C1A">
        <w:rPr>
          <w:rFonts w:ascii="方正仿宋_GBK" w:eastAsia="方正仿宋_GBK" w:hint="eastAsia"/>
          <w:sz w:val="32"/>
          <w:szCs w:val="32"/>
        </w:rPr>
        <w:t>人，占</w:t>
      </w:r>
      <w:r w:rsidRPr="004E4C1A">
        <w:rPr>
          <w:rFonts w:ascii="方正仿宋_GBK" w:eastAsia="方正仿宋_GBK"/>
          <w:sz w:val="32"/>
          <w:szCs w:val="32"/>
        </w:rPr>
        <w:t>74.48</w:t>
      </w:r>
      <w:r w:rsidRPr="004E4C1A">
        <w:rPr>
          <w:rFonts w:ascii="方正仿宋_GBK" w:eastAsia="方正仿宋_GBK" w:hint="eastAsia"/>
          <w:sz w:val="32"/>
          <w:szCs w:val="32"/>
        </w:rPr>
        <w:t>%。如表1-</w:t>
      </w:r>
      <w:r w:rsidR="00E464BD" w:rsidRPr="004E4C1A">
        <w:rPr>
          <w:rFonts w:ascii="方正仿宋_GBK" w:eastAsia="方正仿宋_GBK" w:hint="eastAsia"/>
          <w:sz w:val="32"/>
          <w:szCs w:val="32"/>
        </w:rPr>
        <w:t>1</w:t>
      </w:r>
      <w:r w:rsidRPr="004E4C1A">
        <w:rPr>
          <w:rFonts w:ascii="方正仿宋_GBK" w:eastAsia="方正仿宋_GBK" w:hint="eastAsia"/>
          <w:sz w:val="32"/>
          <w:szCs w:val="32"/>
        </w:rPr>
        <w:t>所示：</w:t>
      </w:r>
    </w:p>
    <w:p w:rsidR="00F85788" w:rsidRPr="004E4C1A" w:rsidRDefault="00F85788" w:rsidP="003429B5">
      <w:pPr>
        <w:jc w:val="center"/>
        <w:rPr>
          <w:rFonts w:asciiTheme="minorEastAsia" w:eastAsiaTheme="minorEastAsia" w:hAnsiTheme="minorEastAsia"/>
          <w:b/>
          <w:sz w:val="24"/>
          <w:szCs w:val="21"/>
        </w:rPr>
      </w:pPr>
      <w:r w:rsidRPr="004E4C1A">
        <w:rPr>
          <w:rFonts w:asciiTheme="minorEastAsia" w:eastAsiaTheme="minorEastAsia" w:hAnsiTheme="minorEastAsia" w:hint="eastAsia"/>
          <w:b/>
          <w:sz w:val="24"/>
          <w:szCs w:val="21"/>
        </w:rPr>
        <w:t>表1-</w:t>
      </w:r>
      <w:r w:rsidR="00E464BD" w:rsidRPr="004E4C1A">
        <w:rPr>
          <w:rFonts w:asciiTheme="minorEastAsia" w:eastAsiaTheme="minorEastAsia" w:hAnsiTheme="minorEastAsia" w:hint="eastAsia"/>
          <w:b/>
          <w:sz w:val="24"/>
          <w:szCs w:val="21"/>
        </w:rPr>
        <w:t>1</w:t>
      </w:r>
      <w:r w:rsidRPr="004E4C1A">
        <w:rPr>
          <w:rFonts w:asciiTheme="minorEastAsia" w:eastAsiaTheme="minorEastAsia" w:hAnsiTheme="minorEastAsia" w:hint="eastAsia"/>
          <w:b/>
          <w:sz w:val="24"/>
          <w:szCs w:val="21"/>
        </w:rPr>
        <w:t>：生源地分布情况</w:t>
      </w:r>
    </w:p>
    <w:tbl>
      <w:tblPr>
        <w:tblStyle w:val="a5"/>
        <w:tblW w:w="4862" w:type="pct"/>
        <w:tblLook w:val="0660"/>
      </w:tblPr>
      <w:tblGrid>
        <w:gridCol w:w="1418"/>
        <w:gridCol w:w="2289"/>
        <w:gridCol w:w="2291"/>
        <w:gridCol w:w="2289"/>
      </w:tblGrid>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b/>
                <w:bCs/>
                <w:kern w:val="0"/>
                <w:sz w:val="24"/>
              </w:rPr>
            </w:pPr>
            <w:r w:rsidRPr="004E4C1A">
              <w:rPr>
                <w:rFonts w:asciiTheme="minorEastAsia" w:eastAsiaTheme="minorEastAsia" w:hAnsiTheme="minorEastAsia" w:hint="eastAsia"/>
                <w:b/>
                <w:bCs/>
                <w:kern w:val="0"/>
                <w:sz w:val="24"/>
                <w:lang w:val="zh-CN"/>
              </w:rPr>
              <w:t>序号</w:t>
            </w:r>
          </w:p>
        </w:tc>
        <w:tc>
          <w:tcPr>
            <w:tcW w:w="1381" w:type="pct"/>
            <w:vAlign w:val="center"/>
          </w:tcPr>
          <w:p w:rsidR="00F85788" w:rsidRPr="004E4C1A" w:rsidRDefault="00F85788" w:rsidP="00E464BD">
            <w:pPr>
              <w:jc w:val="center"/>
              <w:rPr>
                <w:rFonts w:asciiTheme="minorEastAsia" w:eastAsiaTheme="minorEastAsia" w:hAnsiTheme="minorEastAsia"/>
                <w:b/>
                <w:bCs/>
                <w:kern w:val="0"/>
                <w:sz w:val="24"/>
              </w:rPr>
            </w:pPr>
            <w:r w:rsidRPr="004E4C1A">
              <w:rPr>
                <w:rFonts w:asciiTheme="minorEastAsia" w:eastAsiaTheme="minorEastAsia" w:hAnsiTheme="minorEastAsia" w:hint="eastAsia"/>
                <w:b/>
                <w:bCs/>
                <w:kern w:val="0"/>
                <w:sz w:val="24"/>
                <w:lang w:val="zh-CN"/>
              </w:rPr>
              <w:t>生源地</w:t>
            </w:r>
          </w:p>
        </w:tc>
        <w:tc>
          <w:tcPr>
            <w:tcW w:w="1382" w:type="pct"/>
            <w:vAlign w:val="center"/>
          </w:tcPr>
          <w:p w:rsidR="00F85788" w:rsidRPr="004E4C1A" w:rsidRDefault="00F85788" w:rsidP="00E464BD">
            <w:pPr>
              <w:jc w:val="center"/>
              <w:rPr>
                <w:rFonts w:asciiTheme="minorEastAsia" w:eastAsiaTheme="minorEastAsia" w:hAnsiTheme="minorEastAsia"/>
                <w:b/>
                <w:bCs/>
                <w:kern w:val="0"/>
                <w:sz w:val="24"/>
              </w:rPr>
            </w:pPr>
            <w:r w:rsidRPr="004E4C1A">
              <w:rPr>
                <w:rFonts w:asciiTheme="minorEastAsia" w:eastAsiaTheme="minorEastAsia" w:hAnsiTheme="minorEastAsia" w:hint="eastAsia"/>
                <w:b/>
                <w:bCs/>
                <w:kern w:val="0"/>
                <w:sz w:val="24"/>
                <w:lang w:val="zh-CN"/>
              </w:rPr>
              <w:t>人数</w:t>
            </w:r>
          </w:p>
        </w:tc>
        <w:tc>
          <w:tcPr>
            <w:tcW w:w="1382" w:type="pct"/>
            <w:vAlign w:val="center"/>
          </w:tcPr>
          <w:p w:rsidR="00F85788" w:rsidRPr="004E4C1A" w:rsidRDefault="00F85788" w:rsidP="00E464BD">
            <w:pPr>
              <w:jc w:val="center"/>
              <w:rPr>
                <w:rFonts w:asciiTheme="minorEastAsia" w:eastAsiaTheme="minorEastAsia" w:hAnsiTheme="minorEastAsia"/>
                <w:b/>
                <w:bCs/>
                <w:kern w:val="0"/>
                <w:sz w:val="24"/>
              </w:rPr>
            </w:pPr>
            <w:r w:rsidRPr="004E4C1A">
              <w:rPr>
                <w:rFonts w:asciiTheme="minorEastAsia" w:eastAsiaTheme="minorEastAsia" w:hAnsiTheme="minorEastAsia" w:hint="eastAsia"/>
                <w:b/>
                <w:bCs/>
                <w:kern w:val="0"/>
                <w:sz w:val="24"/>
                <w:lang w:val="zh-CN"/>
              </w:rPr>
              <w:t>比例</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1</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重庆市</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1</w:t>
            </w:r>
            <w:r w:rsidRPr="004E4C1A">
              <w:rPr>
                <w:rFonts w:asciiTheme="minorEastAsia" w:eastAsiaTheme="minorEastAsia" w:hAnsiTheme="minorEastAsia"/>
                <w:kern w:val="0"/>
                <w:sz w:val="24"/>
                <w:lang w:val="zh-CN"/>
              </w:rPr>
              <w:t>804</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74.48%</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2</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四川省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3</w:t>
            </w:r>
            <w:r w:rsidRPr="004E4C1A">
              <w:rPr>
                <w:rFonts w:asciiTheme="minorEastAsia" w:eastAsiaTheme="minorEastAsia" w:hAnsiTheme="minorEastAsia"/>
                <w:kern w:val="0"/>
                <w:sz w:val="24"/>
                <w:lang w:val="zh-CN"/>
              </w:rPr>
              <w:t>96</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16.35%</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3</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贵州省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83</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3.43%</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4</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云南省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49</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2.02%</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lastRenderedPageBreak/>
              <w:t>5</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海南省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19</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0.78%</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6</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安徽省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9</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0.37%</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7</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新疆</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22</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0.91%</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8</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河南省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15</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0.62%</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9</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广西省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10</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0.41%</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10</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湖北省</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15</w:t>
            </w:r>
          </w:p>
        </w:tc>
        <w:tc>
          <w:tcPr>
            <w:tcW w:w="1382" w:type="pct"/>
            <w:vAlign w:val="center"/>
          </w:tcPr>
          <w:p w:rsidR="00F85788" w:rsidRPr="004E4C1A" w:rsidRDefault="00F85788" w:rsidP="00E464BD">
            <w:pPr>
              <w:jc w:val="center"/>
              <w:rPr>
                <w:rFonts w:asciiTheme="minorEastAsia" w:eastAsiaTheme="minorEastAsia" w:hAnsiTheme="minorEastAsia"/>
                <w:kern w:val="0"/>
                <w:sz w:val="24"/>
                <w:lang w:val="zh-CN"/>
              </w:rPr>
            </w:pPr>
            <w:r w:rsidRPr="004E4C1A">
              <w:rPr>
                <w:rFonts w:asciiTheme="minorEastAsia" w:eastAsiaTheme="minorEastAsia" w:hAnsiTheme="minorEastAsia"/>
                <w:kern w:val="0"/>
                <w:sz w:val="24"/>
                <w:lang w:val="zh-CN"/>
              </w:rPr>
              <w:t>0.62%</w:t>
            </w:r>
          </w:p>
        </w:tc>
      </w:tr>
      <w:tr w:rsidR="004E4C1A" w:rsidRPr="004E4C1A" w:rsidTr="00E464BD">
        <w:trPr>
          <w:trHeight w:val="283"/>
        </w:trPr>
        <w:tc>
          <w:tcPr>
            <w:tcW w:w="856" w:type="pct"/>
            <w:noWrap/>
            <w:vAlign w:val="center"/>
          </w:tcPr>
          <w:p w:rsidR="00F85788" w:rsidRPr="004E4C1A" w:rsidRDefault="00F85788" w:rsidP="00E464BD">
            <w:pPr>
              <w:jc w:val="center"/>
              <w:rPr>
                <w:rFonts w:asciiTheme="minorEastAsia" w:eastAsiaTheme="minorEastAsia" w:hAnsiTheme="minorEastAsia"/>
                <w:kern w:val="0"/>
                <w:sz w:val="24"/>
              </w:rPr>
            </w:pPr>
            <w:r w:rsidRPr="004E4C1A">
              <w:rPr>
                <w:rFonts w:asciiTheme="minorEastAsia" w:eastAsiaTheme="minorEastAsia" w:hAnsiTheme="minorEastAsia" w:hint="eastAsia"/>
                <w:kern w:val="0"/>
                <w:sz w:val="24"/>
                <w:lang w:val="zh-CN"/>
              </w:rPr>
              <w:t>总计</w:t>
            </w:r>
          </w:p>
        </w:tc>
        <w:tc>
          <w:tcPr>
            <w:tcW w:w="1381"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rPr>
            </w:pP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r w:rsidRPr="004E4C1A">
              <w:rPr>
                <w:rFonts w:asciiTheme="minorEastAsia" w:eastAsiaTheme="minorEastAsia" w:hAnsiTheme="minorEastAsia" w:hint="eastAsia"/>
                <w:kern w:val="0"/>
                <w:sz w:val="24"/>
                <w:lang w:val="zh-CN"/>
              </w:rPr>
              <w:t>2</w:t>
            </w:r>
            <w:r w:rsidRPr="004E4C1A">
              <w:rPr>
                <w:rFonts w:asciiTheme="minorEastAsia" w:eastAsiaTheme="minorEastAsia" w:hAnsiTheme="minorEastAsia"/>
                <w:kern w:val="0"/>
                <w:sz w:val="24"/>
                <w:lang w:val="zh-CN"/>
              </w:rPr>
              <w:t>422</w:t>
            </w:r>
          </w:p>
        </w:tc>
        <w:tc>
          <w:tcPr>
            <w:tcW w:w="1382" w:type="pct"/>
            <w:vAlign w:val="center"/>
          </w:tcPr>
          <w:p w:rsidR="00F85788" w:rsidRPr="004E4C1A" w:rsidRDefault="00F85788" w:rsidP="00E464BD">
            <w:pPr>
              <w:widowControl/>
              <w:tabs>
                <w:tab w:val="decimal" w:pos="360"/>
              </w:tabs>
              <w:jc w:val="center"/>
              <w:rPr>
                <w:rFonts w:asciiTheme="minorEastAsia" w:eastAsiaTheme="minorEastAsia" w:hAnsiTheme="minorEastAsia"/>
                <w:kern w:val="0"/>
                <w:sz w:val="24"/>
                <w:lang w:val="zh-CN"/>
              </w:rPr>
            </w:pPr>
          </w:p>
        </w:tc>
      </w:tr>
    </w:tbl>
    <w:p w:rsidR="00F85788" w:rsidRPr="004E4C1A" w:rsidRDefault="00F85788" w:rsidP="0098054E">
      <w:pPr>
        <w:spacing w:beforeLines="50" w:afterLines="50"/>
        <w:outlineLvl w:val="1"/>
        <w:rPr>
          <w:rFonts w:ascii="方正楷体简体" w:eastAsia="方正楷体简体" w:hAnsi="Helvetica" w:cs="Helvetica"/>
          <w:b/>
          <w:sz w:val="32"/>
          <w:szCs w:val="32"/>
        </w:rPr>
      </w:pPr>
      <w:bookmarkStart w:id="7" w:name="_Toc29308487"/>
      <w:r w:rsidRPr="004E4C1A">
        <w:rPr>
          <w:rFonts w:ascii="方正楷体简体" w:eastAsia="方正楷体简体" w:hAnsi="Helvetica" w:cs="Helvetica" w:hint="eastAsia"/>
          <w:b/>
          <w:sz w:val="32"/>
          <w:szCs w:val="32"/>
        </w:rPr>
        <w:t>三、</w:t>
      </w:r>
      <w:bookmarkStart w:id="8" w:name="_Hlk29286760"/>
      <w:r w:rsidRPr="004E4C1A">
        <w:rPr>
          <w:rFonts w:ascii="方正楷体简体" w:eastAsia="方正楷体简体" w:hAnsi="Helvetica" w:cs="Helvetica" w:hint="eastAsia"/>
          <w:b/>
          <w:sz w:val="32"/>
          <w:szCs w:val="32"/>
        </w:rPr>
        <w:t>各院系毕业生性别分布情况</w:t>
      </w:r>
      <w:bookmarkEnd w:id="7"/>
      <w:bookmarkEnd w:id="8"/>
    </w:p>
    <w:p w:rsidR="00F85788" w:rsidRPr="004E4C1A" w:rsidRDefault="00F85788" w:rsidP="00F85788">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201</w:t>
      </w:r>
      <w:r w:rsidRPr="004E4C1A">
        <w:rPr>
          <w:rFonts w:ascii="方正仿宋_GBK" w:eastAsia="方正仿宋_GBK"/>
          <w:sz w:val="32"/>
          <w:szCs w:val="32"/>
        </w:rPr>
        <w:t>9</w:t>
      </w:r>
      <w:r w:rsidRPr="004E4C1A">
        <w:rPr>
          <w:rFonts w:ascii="方正仿宋_GBK" w:eastAsia="方正仿宋_GBK" w:hint="eastAsia"/>
          <w:sz w:val="32"/>
          <w:szCs w:val="32"/>
        </w:rPr>
        <w:t>年我院毕业生总人数2</w:t>
      </w:r>
      <w:r w:rsidRPr="004E4C1A">
        <w:rPr>
          <w:rFonts w:ascii="方正仿宋_GBK" w:eastAsia="方正仿宋_GBK"/>
          <w:sz w:val="32"/>
          <w:szCs w:val="32"/>
        </w:rPr>
        <w:t>422</w:t>
      </w:r>
      <w:r w:rsidRPr="004E4C1A">
        <w:rPr>
          <w:rFonts w:ascii="方正仿宋_GBK" w:eastAsia="方正仿宋_GBK" w:hint="eastAsia"/>
          <w:sz w:val="32"/>
          <w:szCs w:val="32"/>
        </w:rPr>
        <w:t>名毕业生，其中男生17</w:t>
      </w:r>
      <w:r w:rsidRPr="004E4C1A">
        <w:rPr>
          <w:rFonts w:ascii="方正仿宋_GBK" w:eastAsia="方正仿宋_GBK"/>
          <w:sz w:val="32"/>
          <w:szCs w:val="32"/>
        </w:rPr>
        <w:t>24</w:t>
      </w:r>
      <w:r w:rsidRPr="004E4C1A">
        <w:rPr>
          <w:rFonts w:ascii="方正仿宋_GBK" w:eastAsia="方正仿宋_GBK" w:hint="eastAsia"/>
          <w:sz w:val="32"/>
          <w:szCs w:val="32"/>
        </w:rPr>
        <w:t>人，女生</w:t>
      </w:r>
      <w:r w:rsidRPr="004E4C1A">
        <w:rPr>
          <w:rFonts w:ascii="方正仿宋_GBK" w:eastAsia="方正仿宋_GBK"/>
          <w:sz w:val="32"/>
          <w:szCs w:val="32"/>
        </w:rPr>
        <w:t>698</w:t>
      </w:r>
      <w:r w:rsidRPr="004E4C1A">
        <w:rPr>
          <w:rFonts w:ascii="方正仿宋_GBK" w:eastAsia="方正仿宋_GBK" w:hint="eastAsia"/>
          <w:sz w:val="32"/>
          <w:szCs w:val="32"/>
        </w:rPr>
        <w:t>人。各学院毕业生性别比例情况如表1-</w:t>
      </w:r>
      <w:r w:rsidR="001B786D">
        <w:rPr>
          <w:rFonts w:ascii="方正仿宋_GBK" w:eastAsia="方正仿宋_GBK" w:hint="eastAsia"/>
          <w:sz w:val="32"/>
          <w:szCs w:val="32"/>
        </w:rPr>
        <w:t>2</w:t>
      </w:r>
      <w:r w:rsidRPr="004E4C1A">
        <w:rPr>
          <w:rFonts w:ascii="方正仿宋_GBK" w:eastAsia="方正仿宋_GBK" w:hint="eastAsia"/>
          <w:sz w:val="32"/>
          <w:szCs w:val="32"/>
        </w:rPr>
        <w:t>所示：</w:t>
      </w:r>
    </w:p>
    <w:p w:rsidR="00F85788" w:rsidRPr="004E4C1A" w:rsidRDefault="00F85788" w:rsidP="003429B5">
      <w:pPr>
        <w:jc w:val="center"/>
        <w:rPr>
          <w:rFonts w:asciiTheme="minorEastAsia" w:eastAsiaTheme="minorEastAsia" w:hAnsiTheme="minorEastAsia"/>
          <w:b/>
          <w:sz w:val="24"/>
          <w:szCs w:val="21"/>
        </w:rPr>
      </w:pPr>
      <w:r w:rsidRPr="004E4C1A">
        <w:rPr>
          <w:rFonts w:asciiTheme="minorEastAsia" w:eastAsiaTheme="minorEastAsia" w:hAnsiTheme="minorEastAsia" w:hint="eastAsia"/>
          <w:b/>
          <w:sz w:val="24"/>
          <w:szCs w:val="21"/>
        </w:rPr>
        <w:t>表1-</w:t>
      </w:r>
      <w:r w:rsidR="001B786D">
        <w:rPr>
          <w:rFonts w:asciiTheme="minorEastAsia" w:eastAsiaTheme="minorEastAsia" w:hAnsiTheme="minorEastAsia" w:hint="eastAsia"/>
          <w:b/>
          <w:sz w:val="24"/>
          <w:szCs w:val="21"/>
        </w:rPr>
        <w:t>2</w:t>
      </w:r>
      <w:r w:rsidRPr="004E4C1A">
        <w:rPr>
          <w:rFonts w:asciiTheme="minorEastAsia" w:eastAsiaTheme="minorEastAsia" w:hAnsiTheme="minorEastAsia" w:hint="eastAsia"/>
          <w:b/>
          <w:sz w:val="24"/>
          <w:szCs w:val="21"/>
        </w:rPr>
        <w:t>：毕业生性别分布情况</w:t>
      </w:r>
    </w:p>
    <w:tbl>
      <w:tblPr>
        <w:tblStyle w:val="a5"/>
        <w:tblW w:w="9484" w:type="dxa"/>
        <w:jc w:val="center"/>
        <w:tblLayout w:type="fixed"/>
        <w:tblLook w:val="04A0"/>
      </w:tblPr>
      <w:tblGrid>
        <w:gridCol w:w="2653"/>
        <w:gridCol w:w="1119"/>
        <w:gridCol w:w="1276"/>
        <w:gridCol w:w="1559"/>
        <w:gridCol w:w="1276"/>
        <w:gridCol w:w="1601"/>
      </w:tblGrid>
      <w:tr w:rsidR="004E4C1A" w:rsidRPr="004E4C1A" w:rsidTr="00160BC2">
        <w:trPr>
          <w:trHeight w:val="283"/>
          <w:jc w:val="center"/>
        </w:trPr>
        <w:tc>
          <w:tcPr>
            <w:tcW w:w="2653" w:type="dxa"/>
          </w:tcPr>
          <w:p w:rsidR="00F85788" w:rsidRPr="004E4C1A" w:rsidRDefault="00F85788" w:rsidP="00380C98">
            <w:pPr>
              <w:jc w:val="center"/>
              <w:rPr>
                <w:rFonts w:asciiTheme="minorEastAsia" w:eastAsiaTheme="minorEastAsia" w:hAnsiTheme="minorEastAsia"/>
                <w:b/>
                <w:sz w:val="24"/>
              </w:rPr>
            </w:pPr>
            <w:bookmarkStart w:id="9" w:name="_Hlk28265897"/>
            <w:r w:rsidRPr="004E4C1A">
              <w:rPr>
                <w:rFonts w:asciiTheme="minorEastAsia" w:eastAsiaTheme="minorEastAsia" w:hAnsiTheme="minorEastAsia" w:hint="eastAsia"/>
                <w:b/>
                <w:sz w:val="24"/>
              </w:rPr>
              <w:t>院系名称</w:t>
            </w:r>
          </w:p>
        </w:tc>
        <w:tc>
          <w:tcPr>
            <w:tcW w:w="1119" w:type="dxa"/>
          </w:tcPr>
          <w:p w:rsidR="00F85788" w:rsidRPr="004E4C1A" w:rsidRDefault="00F85788" w:rsidP="00160BC2">
            <w:pPr>
              <w:jc w:val="center"/>
              <w:rPr>
                <w:rFonts w:asciiTheme="minorEastAsia" w:eastAsiaTheme="minorEastAsia" w:hAnsiTheme="minorEastAsia"/>
                <w:b/>
                <w:sz w:val="24"/>
              </w:rPr>
            </w:pPr>
            <w:r w:rsidRPr="004E4C1A">
              <w:rPr>
                <w:rFonts w:asciiTheme="minorEastAsia" w:eastAsiaTheme="minorEastAsia" w:hAnsiTheme="minorEastAsia" w:hint="eastAsia"/>
                <w:b/>
                <w:sz w:val="24"/>
              </w:rPr>
              <w:t>总人数</w:t>
            </w:r>
          </w:p>
        </w:tc>
        <w:tc>
          <w:tcPr>
            <w:tcW w:w="1276" w:type="dxa"/>
          </w:tcPr>
          <w:p w:rsidR="00F85788" w:rsidRPr="004E4C1A" w:rsidRDefault="00F85788" w:rsidP="00380C98">
            <w:pPr>
              <w:jc w:val="center"/>
              <w:rPr>
                <w:rFonts w:asciiTheme="minorEastAsia" w:eastAsiaTheme="minorEastAsia" w:hAnsiTheme="minorEastAsia"/>
                <w:b/>
                <w:sz w:val="24"/>
              </w:rPr>
            </w:pPr>
            <w:r w:rsidRPr="004E4C1A">
              <w:rPr>
                <w:rFonts w:asciiTheme="minorEastAsia" w:eastAsiaTheme="minorEastAsia" w:hAnsiTheme="minorEastAsia" w:hint="eastAsia"/>
                <w:b/>
                <w:sz w:val="24"/>
              </w:rPr>
              <w:t>男生（人）</w:t>
            </w:r>
          </w:p>
        </w:tc>
        <w:tc>
          <w:tcPr>
            <w:tcW w:w="1559" w:type="dxa"/>
          </w:tcPr>
          <w:p w:rsidR="00F85788" w:rsidRPr="004E4C1A" w:rsidRDefault="00F85788" w:rsidP="00380C98">
            <w:pPr>
              <w:jc w:val="center"/>
              <w:rPr>
                <w:rFonts w:asciiTheme="minorEastAsia" w:eastAsiaTheme="minorEastAsia" w:hAnsiTheme="minorEastAsia"/>
                <w:b/>
                <w:sz w:val="24"/>
              </w:rPr>
            </w:pPr>
            <w:r w:rsidRPr="004E4C1A">
              <w:rPr>
                <w:rFonts w:asciiTheme="minorEastAsia" w:eastAsiaTheme="minorEastAsia" w:hAnsiTheme="minorEastAsia" w:hint="eastAsia"/>
                <w:b/>
                <w:sz w:val="24"/>
              </w:rPr>
              <w:t>所占比例（%）</w:t>
            </w:r>
          </w:p>
        </w:tc>
        <w:tc>
          <w:tcPr>
            <w:tcW w:w="1276" w:type="dxa"/>
          </w:tcPr>
          <w:p w:rsidR="00F85788" w:rsidRPr="004E4C1A" w:rsidRDefault="00F85788" w:rsidP="00380C98">
            <w:pPr>
              <w:jc w:val="center"/>
              <w:rPr>
                <w:rFonts w:asciiTheme="minorEastAsia" w:eastAsiaTheme="minorEastAsia" w:hAnsiTheme="minorEastAsia"/>
                <w:b/>
                <w:sz w:val="24"/>
              </w:rPr>
            </w:pPr>
            <w:r w:rsidRPr="004E4C1A">
              <w:rPr>
                <w:rFonts w:asciiTheme="minorEastAsia" w:eastAsiaTheme="minorEastAsia" w:hAnsiTheme="minorEastAsia" w:hint="eastAsia"/>
                <w:b/>
                <w:sz w:val="24"/>
              </w:rPr>
              <w:t>女生（人）</w:t>
            </w:r>
          </w:p>
        </w:tc>
        <w:tc>
          <w:tcPr>
            <w:tcW w:w="1601" w:type="dxa"/>
          </w:tcPr>
          <w:p w:rsidR="00F85788" w:rsidRPr="004E4C1A" w:rsidRDefault="00F85788" w:rsidP="00380C98">
            <w:pPr>
              <w:jc w:val="center"/>
              <w:rPr>
                <w:rFonts w:asciiTheme="minorEastAsia" w:eastAsiaTheme="minorEastAsia" w:hAnsiTheme="minorEastAsia"/>
                <w:b/>
                <w:sz w:val="24"/>
              </w:rPr>
            </w:pPr>
            <w:r w:rsidRPr="004E4C1A">
              <w:rPr>
                <w:rFonts w:asciiTheme="minorEastAsia" w:eastAsiaTheme="minorEastAsia" w:hAnsiTheme="minorEastAsia" w:hint="eastAsia"/>
                <w:b/>
                <w:sz w:val="24"/>
              </w:rPr>
              <w:t>所占比例（%）</w:t>
            </w:r>
          </w:p>
        </w:tc>
      </w:tr>
      <w:bookmarkEnd w:id="9"/>
      <w:tr w:rsidR="004E4C1A" w:rsidRPr="004E4C1A" w:rsidTr="00160BC2">
        <w:trPr>
          <w:trHeight w:val="283"/>
          <w:jc w:val="center"/>
        </w:trPr>
        <w:tc>
          <w:tcPr>
            <w:tcW w:w="2653"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土木工程系</w:t>
            </w:r>
          </w:p>
        </w:tc>
        <w:tc>
          <w:tcPr>
            <w:tcW w:w="111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537</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504</w:t>
            </w:r>
          </w:p>
        </w:tc>
        <w:tc>
          <w:tcPr>
            <w:tcW w:w="155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93.85</w:t>
            </w:r>
            <w:r w:rsidRPr="004E4C1A">
              <w:rPr>
                <w:rFonts w:asciiTheme="minorEastAsia" w:eastAsiaTheme="minorEastAsia" w:hAnsiTheme="minorEastAsia" w:hint="eastAsia"/>
                <w:sz w:val="24"/>
              </w:rPr>
              <w:t>%</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33</w:t>
            </w:r>
          </w:p>
        </w:tc>
        <w:tc>
          <w:tcPr>
            <w:tcW w:w="1601"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6.15</w:t>
            </w:r>
            <w:r w:rsidRPr="004E4C1A">
              <w:rPr>
                <w:rFonts w:asciiTheme="minorEastAsia" w:eastAsiaTheme="minorEastAsia" w:hAnsiTheme="minorEastAsia" w:hint="eastAsia"/>
                <w:sz w:val="24"/>
              </w:rPr>
              <w:t>%</w:t>
            </w:r>
          </w:p>
        </w:tc>
      </w:tr>
      <w:tr w:rsidR="004E4C1A" w:rsidRPr="004E4C1A" w:rsidTr="00160BC2">
        <w:trPr>
          <w:trHeight w:val="283"/>
          <w:jc w:val="center"/>
        </w:trPr>
        <w:tc>
          <w:tcPr>
            <w:tcW w:w="2653"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建设管理与房地产系</w:t>
            </w:r>
          </w:p>
        </w:tc>
        <w:tc>
          <w:tcPr>
            <w:tcW w:w="111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1071</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6</w:t>
            </w:r>
            <w:r w:rsidRPr="004E4C1A">
              <w:rPr>
                <w:rFonts w:asciiTheme="minorEastAsia" w:eastAsiaTheme="minorEastAsia" w:hAnsiTheme="minorEastAsia"/>
                <w:sz w:val="24"/>
              </w:rPr>
              <w:t>23</w:t>
            </w:r>
          </w:p>
        </w:tc>
        <w:tc>
          <w:tcPr>
            <w:tcW w:w="155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58.17</w:t>
            </w:r>
            <w:r w:rsidRPr="004E4C1A">
              <w:rPr>
                <w:rFonts w:asciiTheme="minorEastAsia" w:eastAsiaTheme="minorEastAsia" w:hAnsiTheme="minorEastAsia" w:hint="eastAsia"/>
                <w:sz w:val="24"/>
              </w:rPr>
              <w:t>%</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448</w:t>
            </w:r>
          </w:p>
        </w:tc>
        <w:tc>
          <w:tcPr>
            <w:tcW w:w="1601"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41.83</w:t>
            </w:r>
            <w:r w:rsidRPr="004E4C1A">
              <w:rPr>
                <w:rFonts w:asciiTheme="minorEastAsia" w:eastAsiaTheme="minorEastAsia" w:hAnsiTheme="minorEastAsia" w:hint="eastAsia"/>
                <w:sz w:val="24"/>
              </w:rPr>
              <w:t>%</w:t>
            </w:r>
          </w:p>
        </w:tc>
      </w:tr>
      <w:tr w:rsidR="004E4C1A" w:rsidRPr="004E4C1A" w:rsidTr="00160BC2">
        <w:trPr>
          <w:trHeight w:val="283"/>
          <w:jc w:val="center"/>
        </w:trPr>
        <w:tc>
          <w:tcPr>
            <w:tcW w:w="2653"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建筑与艺术系</w:t>
            </w:r>
          </w:p>
        </w:tc>
        <w:tc>
          <w:tcPr>
            <w:tcW w:w="111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2</w:t>
            </w:r>
            <w:r w:rsidRPr="004E4C1A">
              <w:rPr>
                <w:rFonts w:asciiTheme="minorEastAsia" w:eastAsiaTheme="minorEastAsia" w:hAnsiTheme="minorEastAsia"/>
                <w:sz w:val="24"/>
              </w:rPr>
              <w:t>77</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16</w:t>
            </w:r>
            <w:r w:rsidRPr="004E4C1A">
              <w:rPr>
                <w:rFonts w:asciiTheme="minorEastAsia" w:eastAsiaTheme="minorEastAsia" w:hAnsiTheme="minorEastAsia"/>
                <w:sz w:val="24"/>
              </w:rPr>
              <w:t>7</w:t>
            </w:r>
          </w:p>
        </w:tc>
        <w:tc>
          <w:tcPr>
            <w:tcW w:w="155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60.29</w:t>
            </w:r>
            <w:r w:rsidRPr="004E4C1A">
              <w:rPr>
                <w:rFonts w:asciiTheme="minorEastAsia" w:eastAsiaTheme="minorEastAsia" w:hAnsiTheme="minorEastAsia" w:hint="eastAsia"/>
                <w:sz w:val="24"/>
              </w:rPr>
              <w:t>%</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110</w:t>
            </w:r>
          </w:p>
        </w:tc>
        <w:tc>
          <w:tcPr>
            <w:tcW w:w="1601"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39.71</w:t>
            </w:r>
            <w:r w:rsidRPr="004E4C1A">
              <w:rPr>
                <w:rFonts w:asciiTheme="minorEastAsia" w:eastAsiaTheme="minorEastAsia" w:hAnsiTheme="minorEastAsia" w:hint="eastAsia"/>
                <w:sz w:val="24"/>
              </w:rPr>
              <w:t>%</w:t>
            </w:r>
          </w:p>
        </w:tc>
      </w:tr>
      <w:tr w:rsidR="004E4C1A" w:rsidRPr="004E4C1A" w:rsidTr="00160BC2">
        <w:trPr>
          <w:trHeight w:val="283"/>
          <w:jc w:val="center"/>
        </w:trPr>
        <w:tc>
          <w:tcPr>
            <w:tcW w:w="2653"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轨道与机电工程系</w:t>
            </w:r>
          </w:p>
        </w:tc>
        <w:tc>
          <w:tcPr>
            <w:tcW w:w="111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360</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265</w:t>
            </w:r>
          </w:p>
        </w:tc>
        <w:tc>
          <w:tcPr>
            <w:tcW w:w="155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73.61</w:t>
            </w:r>
            <w:r w:rsidRPr="004E4C1A">
              <w:rPr>
                <w:rFonts w:asciiTheme="minorEastAsia" w:eastAsiaTheme="minorEastAsia" w:hAnsiTheme="minorEastAsia" w:hint="eastAsia"/>
                <w:sz w:val="24"/>
              </w:rPr>
              <w:t>%</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95</w:t>
            </w:r>
          </w:p>
        </w:tc>
        <w:tc>
          <w:tcPr>
            <w:tcW w:w="1601"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26.39%</w:t>
            </w:r>
          </w:p>
        </w:tc>
      </w:tr>
      <w:tr w:rsidR="004E4C1A" w:rsidRPr="004E4C1A" w:rsidTr="00160BC2">
        <w:trPr>
          <w:trHeight w:val="283"/>
          <w:jc w:val="center"/>
        </w:trPr>
        <w:tc>
          <w:tcPr>
            <w:tcW w:w="2653"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hint="eastAsia"/>
                <w:sz w:val="24"/>
              </w:rPr>
              <w:t>交通与市政工程系</w:t>
            </w:r>
          </w:p>
        </w:tc>
        <w:tc>
          <w:tcPr>
            <w:tcW w:w="111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177</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165</w:t>
            </w:r>
          </w:p>
        </w:tc>
        <w:tc>
          <w:tcPr>
            <w:tcW w:w="1559"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93.22</w:t>
            </w:r>
            <w:r w:rsidRPr="004E4C1A">
              <w:rPr>
                <w:rFonts w:asciiTheme="minorEastAsia" w:eastAsiaTheme="minorEastAsia" w:hAnsiTheme="minorEastAsia" w:hint="eastAsia"/>
                <w:sz w:val="24"/>
              </w:rPr>
              <w:t>%</w:t>
            </w:r>
          </w:p>
        </w:tc>
        <w:tc>
          <w:tcPr>
            <w:tcW w:w="1276"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12</w:t>
            </w:r>
          </w:p>
        </w:tc>
        <w:tc>
          <w:tcPr>
            <w:tcW w:w="1601" w:type="dxa"/>
          </w:tcPr>
          <w:p w:rsidR="00F85788" w:rsidRPr="004E4C1A" w:rsidRDefault="00F85788" w:rsidP="00380C98">
            <w:pPr>
              <w:jc w:val="center"/>
              <w:rPr>
                <w:rFonts w:asciiTheme="minorEastAsia" w:eastAsiaTheme="minorEastAsia" w:hAnsiTheme="minorEastAsia"/>
                <w:sz w:val="24"/>
              </w:rPr>
            </w:pPr>
            <w:r w:rsidRPr="004E4C1A">
              <w:rPr>
                <w:rFonts w:asciiTheme="minorEastAsia" w:eastAsiaTheme="minorEastAsia" w:hAnsiTheme="minorEastAsia"/>
                <w:sz w:val="24"/>
              </w:rPr>
              <w:t>6.78</w:t>
            </w:r>
            <w:r w:rsidRPr="004E4C1A">
              <w:rPr>
                <w:rFonts w:asciiTheme="minorEastAsia" w:eastAsiaTheme="minorEastAsia" w:hAnsiTheme="minorEastAsia" w:hint="eastAsia"/>
                <w:sz w:val="24"/>
              </w:rPr>
              <w:t>%</w:t>
            </w:r>
          </w:p>
        </w:tc>
      </w:tr>
    </w:tbl>
    <w:p w:rsidR="00F85788" w:rsidRPr="004E4C1A" w:rsidRDefault="00F85788" w:rsidP="0098054E">
      <w:pPr>
        <w:spacing w:beforeLines="50" w:afterLines="50"/>
        <w:outlineLvl w:val="1"/>
        <w:rPr>
          <w:rFonts w:ascii="方正楷体简体" w:eastAsia="方正楷体简体" w:hAnsi="Helvetica" w:cs="Helvetica"/>
          <w:b/>
          <w:sz w:val="32"/>
          <w:szCs w:val="32"/>
        </w:rPr>
      </w:pPr>
      <w:bookmarkStart w:id="10" w:name="_Toc29308488"/>
      <w:r w:rsidRPr="004E4C1A">
        <w:rPr>
          <w:rFonts w:ascii="方正楷体简体" w:eastAsia="方正楷体简体" w:hAnsi="Helvetica" w:cs="Helvetica" w:hint="eastAsia"/>
          <w:b/>
          <w:sz w:val="32"/>
          <w:szCs w:val="32"/>
        </w:rPr>
        <w:t>四、院系及专业结构</w:t>
      </w:r>
      <w:bookmarkEnd w:id="10"/>
    </w:p>
    <w:p w:rsidR="00F85788" w:rsidRPr="004E4C1A" w:rsidRDefault="00F85788" w:rsidP="000E28F9">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学院201</w:t>
      </w:r>
      <w:r w:rsidRPr="004E4C1A">
        <w:rPr>
          <w:rFonts w:ascii="方正仿宋_GBK" w:eastAsia="方正仿宋_GBK"/>
          <w:sz w:val="32"/>
          <w:szCs w:val="32"/>
        </w:rPr>
        <w:t>9</w:t>
      </w:r>
      <w:r w:rsidRPr="004E4C1A">
        <w:rPr>
          <w:rFonts w:ascii="方正仿宋_GBK" w:eastAsia="方正仿宋_GBK" w:hint="eastAsia"/>
          <w:sz w:val="32"/>
          <w:szCs w:val="32"/>
        </w:rPr>
        <w:t>届毕业生共分布在5个院系2</w:t>
      </w:r>
      <w:r w:rsidRPr="004E4C1A">
        <w:rPr>
          <w:rFonts w:ascii="方正仿宋_GBK" w:eastAsia="方正仿宋_GBK"/>
          <w:sz w:val="32"/>
          <w:szCs w:val="32"/>
        </w:rPr>
        <w:t>2</w:t>
      </w:r>
      <w:r w:rsidRPr="004E4C1A">
        <w:rPr>
          <w:rFonts w:ascii="方正仿宋_GBK" w:eastAsia="方正仿宋_GBK" w:hint="eastAsia"/>
          <w:sz w:val="32"/>
          <w:szCs w:val="32"/>
        </w:rPr>
        <w:t>个专业。其中，工程造价、建筑工程技术、财务管理的毕业生人数位居前三，如表1-</w:t>
      </w:r>
      <w:r w:rsidR="001B786D">
        <w:rPr>
          <w:rFonts w:ascii="方正仿宋_GBK" w:eastAsia="方正仿宋_GBK" w:hint="eastAsia"/>
          <w:sz w:val="32"/>
          <w:szCs w:val="32"/>
        </w:rPr>
        <w:t>3</w:t>
      </w:r>
      <w:r w:rsidRPr="004E4C1A">
        <w:rPr>
          <w:rFonts w:ascii="方正仿宋_GBK" w:eastAsia="方正仿宋_GBK" w:hint="eastAsia"/>
          <w:sz w:val="32"/>
          <w:szCs w:val="32"/>
        </w:rPr>
        <w:t>所示：</w:t>
      </w:r>
    </w:p>
    <w:p w:rsidR="00F85788" w:rsidRPr="004E4C1A" w:rsidRDefault="00F85788" w:rsidP="003429B5">
      <w:pPr>
        <w:tabs>
          <w:tab w:val="left" w:pos="6255"/>
        </w:tabs>
        <w:jc w:val="center"/>
        <w:rPr>
          <w:rFonts w:asciiTheme="minorEastAsia" w:eastAsiaTheme="minorEastAsia" w:hAnsiTheme="minorEastAsia"/>
          <w:b/>
          <w:sz w:val="24"/>
          <w:szCs w:val="21"/>
        </w:rPr>
      </w:pPr>
      <w:r w:rsidRPr="004E4C1A">
        <w:rPr>
          <w:rFonts w:asciiTheme="minorEastAsia" w:eastAsiaTheme="minorEastAsia" w:hAnsiTheme="minorEastAsia" w:hint="eastAsia"/>
          <w:b/>
          <w:sz w:val="24"/>
          <w:szCs w:val="21"/>
        </w:rPr>
        <w:t>表1-</w:t>
      </w:r>
      <w:r w:rsidR="001B786D">
        <w:rPr>
          <w:rFonts w:asciiTheme="minorEastAsia" w:eastAsiaTheme="minorEastAsia" w:hAnsiTheme="minorEastAsia" w:hint="eastAsia"/>
          <w:b/>
          <w:sz w:val="24"/>
          <w:szCs w:val="21"/>
        </w:rPr>
        <w:t>3</w:t>
      </w:r>
      <w:r w:rsidRPr="004E4C1A">
        <w:rPr>
          <w:rFonts w:asciiTheme="minorEastAsia" w:eastAsiaTheme="minorEastAsia" w:hAnsiTheme="minorEastAsia" w:hint="eastAsia"/>
          <w:b/>
          <w:sz w:val="24"/>
          <w:szCs w:val="21"/>
        </w:rPr>
        <w:t>：院系及专业结构</w:t>
      </w:r>
    </w:p>
    <w:tbl>
      <w:tblPr>
        <w:tblStyle w:val="a5"/>
        <w:tblW w:w="8046" w:type="dxa"/>
        <w:tblLook w:val="04A0"/>
      </w:tblPr>
      <w:tblGrid>
        <w:gridCol w:w="2947"/>
        <w:gridCol w:w="3245"/>
        <w:gridCol w:w="1854"/>
      </w:tblGrid>
      <w:tr w:rsidR="004E4C1A" w:rsidRPr="004E4C1A" w:rsidTr="00EA08E3">
        <w:trPr>
          <w:trHeight w:val="283"/>
          <w:tblHeader/>
        </w:trPr>
        <w:tc>
          <w:tcPr>
            <w:tcW w:w="0" w:type="auto"/>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b/>
                <w:bCs/>
                <w:sz w:val="24"/>
              </w:rPr>
              <w:t>院系</w:t>
            </w:r>
          </w:p>
        </w:tc>
        <w:tc>
          <w:tcPr>
            <w:tcW w:w="0" w:type="auto"/>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b/>
                <w:bCs/>
                <w:sz w:val="24"/>
              </w:rPr>
              <w:t>专业</w:t>
            </w:r>
          </w:p>
        </w:tc>
        <w:tc>
          <w:tcPr>
            <w:tcW w:w="1854" w:type="dxa"/>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hint="eastAsia"/>
                <w:b/>
                <w:bCs/>
                <w:sz w:val="24"/>
              </w:rPr>
              <w:t>毕业人数</w:t>
            </w:r>
          </w:p>
        </w:tc>
      </w:tr>
      <w:tr w:rsidR="004E4C1A" w:rsidRPr="004E4C1A" w:rsidTr="000E28F9">
        <w:trPr>
          <w:trHeight w:val="283"/>
        </w:trPr>
        <w:tc>
          <w:tcPr>
            <w:tcW w:w="0" w:type="auto"/>
            <w:noWrap/>
            <w:vAlign w:val="center"/>
            <w:hideMark/>
          </w:tcPr>
          <w:p w:rsidR="000E28F9"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合计</w:t>
            </w:r>
          </w:p>
        </w:tc>
        <w:tc>
          <w:tcPr>
            <w:tcW w:w="0" w:type="auto"/>
            <w:noWrap/>
            <w:vAlign w:val="center"/>
            <w:hideMark/>
          </w:tcPr>
          <w:p w:rsidR="000E28F9" w:rsidRPr="004E4C1A" w:rsidRDefault="000E28F9" w:rsidP="000E28F9">
            <w:pPr>
              <w:tabs>
                <w:tab w:val="left" w:pos="6255"/>
              </w:tabs>
              <w:jc w:val="center"/>
              <w:rPr>
                <w:rFonts w:asciiTheme="minorEastAsia" w:eastAsiaTheme="minorEastAsia" w:hAnsiTheme="minorEastAsia"/>
                <w:sz w:val="24"/>
              </w:rPr>
            </w:pPr>
          </w:p>
        </w:tc>
        <w:tc>
          <w:tcPr>
            <w:tcW w:w="1854" w:type="dxa"/>
            <w:noWrap/>
            <w:vAlign w:val="center"/>
            <w:hideMark/>
          </w:tcPr>
          <w:p w:rsidR="000E28F9"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2422</w:t>
            </w:r>
          </w:p>
        </w:tc>
      </w:tr>
      <w:tr w:rsidR="004E4C1A" w:rsidRPr="004E4C1A" w:rsidTr="000E28F9">
        <w:trPr>
          <w:trHeight w:val="283"/>
        </w:trPr>
        <w:tc>
          <w:tcPr>
            <w:tcW w:w="0" w:type="auto"/>
            <w:vMerge w:val="restart"/>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土木工程系</w:t>
            </w:r>
          </w:p>
        </w:tc>
        <w:tc>
          <w:tcPr>
            <w:tcW w:w="0" w:type="auto"/>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hint="eastAsia"/>
                <w:sz w:val="24"/>
              </w:rPr>
              <w:t>小计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537</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工程测量技术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31</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建筑工程技术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433</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土木工程检测技术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24</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建设工程监理</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49</w:t>
            </w:r>
          </w:p>
        </w:tc>
      </w:tr>
      <w:tr w:rsidR="004E4C1A" w:rsidRPr="004E4C1A" w:rsidTr="000E28F9">
        <w:trPr>
          <w:trHeight w:val="283"/>
        </w:trPr>
        <w:tc>
          <w:tcPr>
            <w:tcW w:w="0" w:type="auto"/>
            <w:vMerge w:val="restart"/>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建设管理与房地产系</w:t>
            </w:r>
          </w:p>
        </w:tc>
        <w:tc>
          <w:tcPr>
            <w:tcW w:w="0" w:type="auto"/>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hint="eastAsia"/>
                <w:sz w:val="24"/>
              </w:rPr>
              <w:t>小计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1071</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建设工程管理</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193</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工程造价</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616</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房地产经营与管理</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27</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财务管理</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201</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社区管理与服务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34</w:t>
            </w:r>
          </w:p>
        </w:tc>
      </w:tr>
      <w:tr w:rsidR="004E4C1A" w:rsidRPr="004E4C1A" w:rsidTr="000E28F9">
        <w:trPr>
          <w:trHeight w:val="283"/>
        </w:trPr>
        <w:tc>
          <w:tcPr>
            <w:tcW w:w="0" w:type="auto"/>
            <w:vMerge w:val="restart"/>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建筑与艺术系</w:t>
            </w:r>
          </w:p>
        </w:tc>
        <w:tc>
          <w:tcPr>
            <w:tcW w:w="0" w:type="auto"/>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hint="eastAsia"/>
                <w:sz w:val="24"/>
              </w:rPr>
              <w:t>小计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277</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建筑装饰工程技术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65</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风景园林设计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23</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园林工程技术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21</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城镇建设</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9</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室内艺术设计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60</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环境艺术设计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99</w:t>
            </w:r>
          </w:p>
        </w:tc>
      </w:tr>
      <w:tr w:rsidR="004E4C1A" w:rsidRPr="004E4C1A" w:rsidTr="000E28F9">
        <w:trPr>
          <w:trHeight w:val="283"/>
        </w:trPr>
        <w:tc>
          <w:tcPr>
            <w:tcW w:w="0" w:type="auto"/>
            <w:vMerge w:val="restart"/>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轨道与机电工程系</w:t>
            </w:r>
          </w:p>
        </w:tc>
        <w:tc>
          <w:tcPr>
            <w:tcW w:w="0" w:type="auto"/>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hint="eastAsia"/>
                <w:sz w:val="24"/>
              </w:rPr>
              <w:t>小计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360</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建筑电气工程技术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22</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机电一体化技术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21</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城市轨道交通车辆技术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63</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城市轨道交通工程技术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129</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城市轨道交通运营管理</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125</w:t>
            </w:r>
          </w:p>
        </w:tc>
      </w:tr>
      <w:tr w:rsidR="004E4C1A" w:rsidRPr="004E4C1A" w:rsidTr="000E28F9">
        <w:trPr>
          <w:trHeight w:val="283"/>
        </w:trPr>
        <w:tc>
          <w:tcPr>
            <w:tcW w:w="0" w:type="auto"/>
            <w:vMerge w:val="restart"/>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交通与市政工程系</w:t>
            </w:r>
          </w:p>
        </w:tc>
        <w:tc>
          <w:tcPr>
            <w:tcW w:w="0" w:type="auto"/>
            <w:noWrap/>
            <w:vAlign w:val="center"/>
            <w:hideMark/>
          </w:tcPr>
          <w:p w:rsidR="00F85788" w:rsidRPr="004E4C1A" w:rsidRDefault="000E28F9"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hint="eastAsia"/>
                <w:sz w:val="24"/>
              </w:rPr>
              <w:t>小计</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177</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市政工程技术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32</w:t>
            </w:r>
          </w:p>
        </w:tc>
      </w:tr>
      <w:tr w:rsidR="004E4C1A" w:rsidRPr="004E4C1A" w:rsidTr="000E28F9">
        <w:trPr>
          <w:trHeight w:val="283"/>
        </w:trPr>
        <w:tc>
          <w:tcPr>
            <w:tcW w:w="0" w:type="auto"/>
            <w:vMerge/>
            <w:vAlign w:val="center"/>
            <w:hideMark/>
          </w:tcPr>
          <w:p w:rsidR="00F85788" w:rsidRPr="004E4C1A" w:rsidRDefault="00F85788" w:rsidP="000E28F9">
            <w:pPr>
              <w:tabs>
                <w:tab w:val="left" w:pos="6255"/>
              </w:tabs>
              <w:jc w:val="center"/>
              <w:rPr>
                <w:rFonts w:asciiTheme="minorEastAsia" w:eastAsiaTheme="minorEastAsia" w:hAnsiTheme="minorEastAsia"/>
                <w:sz w:val="24"/>
              </w:rPr>
            </w:pPr>
          </w:p>
        </w:tc>
        <w:tc>
          <w:tcPr>
            <w:tcW w:w="0" w:type="auto"/>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道路桥梁工程技术</w:t>
            </w:r>
          </w:p>
        </w:tc>
        <w:tc>
          <w:tcPr>
            <w:tcW w:w="1854" w:type="dxa"/>
            <w:noWrap/>
            <w:vAlign w:val="center"/>
            <w:hideMark/>
          </w:tcPr>
          <w:p w:rsidR="00F85788" w:rsidRPr="004E4C1A" w:rsidRDefault="00F85788" w:rsidP="000E28F9">
            <w:pPr>
              <w:tabs>
                <w:tab w:val="left" w:pos="6255"/>
              </w:tabs>
              <w:jc w:val="center"/>
              <w:rPr>
                <w:rFonts w:asciiTheme="minorEastAsia" w:eastAsiaTheme="minorEastAsia" w:hAnsiTheme="minorEastAsia"/>
                <w:sz w:val="24"/>
              </w:rPr>
            </w:pPr>
            <w:r w:rsidRPr="004E4C1A">
              <w:rPr>
                <w:rFonts w:asciiTheme="minorEastAsia" w:eastAsiaTheme="minorEastAsia" w:hAnsiTheme="minorEastAsia"/>
                <w:sz w:val="24"/>
              </w:rPr>
              <w:t>145</w:t>
            </w:r>
          </w:p>
        </w:tc>
      </w:tr>
    </w:tbl>
    <w:p w:rsidR="004F20E9" w:rsidRDefault="004F20E9" w:rsidP="0098054E">
      <w:pPr>
        <w:spacing w:beforeLines="50" w:afterLines="50"/>
        <w:jc w:val="center"/>
        <w:rPr>
          <w:rFonts w:ascii="方正黑体_GBK" w:eastAsia="方正黑体_GBK"/>
          <w:sz w:val="32"/>
          <w:szCs w:val="32"/>
        </w:rPr>
      </w:pPr>
    </w:p>
    <w:p w:rsidR="004E4C1A" w:rsidRPr="004E4C1A" w:rsidRDefault="004E4C1A" w:rsidP="0098054E">
      <w:pPr>
        <w:spacing w:beforeLines="50" w:afterLines="50"/>
        <w:jc w:val="center"/>
        <w:outlineLvl w:val="0"/>
        <w:rPr>
          <w:rFonts w:ascii="方正黑体_GBK" w:eastAsia="方正黑体_GBK"/>
          <w:sz w:val="32"/>
          <w:szCs w:val="32"/>
        </w:rPr>
      </w:pPr>
      <w:bookmarkStart w:id="11" w:name="_Toc29308489"/>
      <w:r w:rsidRPr="004E4C1A">
        <w:rPr>
          <w:rFonts w:ascii="方正黑体_GBK" w:eastAsia="方正黑体_GBK" w:hint="eastAsia"/>
          <w:sz w:val="32"/>
          <w:szCs w:val="32"/>
        </w:rPr>
        <w:t>第二部分 201</w:t>
      </w:r>
      <w:r w:rsidRPr="004E4C1A">
        <w:rPr>
          <w:rFonts w:ascii="方正黑体_GBK" w:eastAsia="方正黑体_GBK"/>
          <w:sz w:val="32"/>
          <w:szCs w:val="32"/>
        </w:rPr>
        <w:t>9</w:t>
      </w:r>
      <w:r w:rsidRPr="004E4C1A">
        <w:rPr>
          <w:rFonts w:ascii="方正黑体_GBK" w:eastAsia="方正黑体_GBK" w:hint="eastAsia"/>
          <w:sz w:val="32"/>
          <w:szCs w:val="32"/>
        </w:rPr>
        <w:t>届毕业生就业状况及毕业去向</w:t>
      </w:r>
      <w:bookmarkEnd w:id="11"/>
    </w:p>
    <w:p w:rsidR="004E4C1A" w:rsidRPr="004E4C1A" w:rsidRDefault="004E4C1A" w:rsidP="0098054E">
      <w:pPr>
        <w:spacing w:beforeLines="50" w:afterLines="50"/>
        <w:outlineLvl w:val="1"/>
        <w:rPr>
          <w:rFonts w:ascii="方正楷体简体" w:eastAsia="方正楷体简体" w:hAnsi="Helvetica" w:cs="Helvetica"/>
          <w:b/>
          <w:sz w:val="32"/>
          <w:szCs w:val="32"/>
        </w:rPr>
      </w:pPr>
      <w:bookmarkStart w:id="12" w:name="_Toc29308490"/>
      <w:r w:rsidRPr="004E4C1A">
        <w:rPr>
          <w:rFonts w:ascii="方正楷体简体" w:eastAsia="方正楷体简体" w:hAnsi="Helvetica" w:cs="Helvetica" w:hint="eastAsia"/>
          <w:b/>
          <w:sz w:val="32"/>
          <w:szCs w:val="32"/>
        </w:rPr>
        <w:t>一、总体就业率及毕业去向</w:t>
      </w:r>
      <w:bookmarkEnd w:id="12"/>
    </w:p>
    <w:p w:rsidR="004E4C1A" w:rsidRPr="004E4C1A" w:rsidRDefault="004E4C1A" w:rsidP="004E4C1A">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截止201</w:t>
      </w:r>
      <w:r w:rsidRPr="004E4C1A">
        <w:rPr>
          <w:rFonts w:ascii="方正仿宋_GBK" w:eastAsia="方正仿宋_GBK"/>
          <w:sz w:val="32"/>
          <w:szCs w:val="32"/>
        </w:rPr>
        <w:t>9</w:t>
      </w:r>
      <w:r w:rsidRPr="004E4C1A">
        <w:rPr>
          <w:rFonts w:ascii="方正仿宋_GBK" w:eastAsia="方正仿宋_GBK" w:hint="eastAsia"/>
          <w:sz w:val="32"/>
          <w:szCs w:val="32"/>
        </w:rPr>
        <w:t>年12月30日，学院201</w:t>
      </w:r>
      <w:r w:rsidRPr="004E4C1A">
        <w:rPr>
          <w:rFonts w:ascii="方正仿宋_GBK" w:eastAsia="方正仿宋_GBK"/>
          <w:sz w:val="32"/>
          <w:szCs w:val="32"/>
        </w:rPr>
        <w:t>9</w:t>
      </w:r>
      <w:r w:rsidRPr="004E4C1A">
        <w:rPr>
          <w:rFonts w:ascii="方正仿宋_GBK" w:eastAsia="方正仿宋_GBK" w:hint="eastAsia"/>
          <w:sz w:val="32"/>
          <w:szCs w:val="32"/>
        </w:rPr>
        <w:t>届毕业生就业率为9</w:t>
      </w:r>
      <w:r w:rsidRPr="004E4C1A">
        <w:rPr>
          <w:rFonts w:ascii="方正仿宋_GBK" w:eastAsia="方正仿宋_GBK"/>
          <w:sz w:val="32"/>
          <w:szCs w:val="32"/>
        </w:rPr>
        <w:t>6</w:t>
      </w:r>
      <w:r w:rsidRPr="004E4C1A">
        <w:rPr>
          <w:rFonts w:ascii="方正仿宋_GBK" w:eastAsia="方正仿宋_GBK" w:hint="eastAsia"/>
          <w:sz w:val="32"/>
          <w:szCs w:val="32"/>
        </w:rPr>
        <w:t>.</w:t>
      </w:r>
      <w:r w:rsidRPr="004E4C1A">
        <w:rPr>
          <w:rFonts w:ascii="方正仿宋_GBK" w:eastAsia="方正仿宋_GBK"/>
          <w:sz w:val="32"/>
          <w:szCs w:val="32"/>
        </w:rPr>
        <w:t>82</w:t>
      </w:r>
      <w:r w:rsidRPr="004E4C1A">
        <w:rPr>
          <w:rFonts w:ascii="方正仿宋_GBK" w:eastAsia="方正仿宋_GBK" w:hint="eastAsia"/>
          <w:sz w:val="32"/>
          <w:szCs w:val="32"/>
        </w:rPr>
        <w:t>%，基本实现充分就业。从具体毕业去向来看，“回原籍”为毕业生主要去向选择，占比为</w:t>
      </w:r>
      <w:r w:rsidRPr="004E4C1A">
        <w:rPr>
          <w:rFonts w:ascii="方正仿宋_GBK" w:eastAsia="方正仿宋_GBK"/>
          <w:sz w:val="32"/>
          <w:szCs w:val="32"/>
        </w:rPr>
        <w:t>84.72%</w:t>
      </w:r>
      <w:r w:rsidRPr="004E4C1A">
        <w:rPr>
          <w:rFonts w:ascii="方正仿宋_GBK" w:eastAsia="方正仿宋_GBK" w:hint="eastAsia"/>
          <w:sz w:val="32"/>
          <w:szCs w:val="32"/>
        </w:rPr>
        <w:t>。如表2-1所示：</w:t>
      </w:r>
    </w:p>
    <w:p w:rsidR="004E4C1A" w:rsidRPr="00160034" w:rsidRDefault="004E4C1A" w:rsidP="004E4C1A">
      <w:pPr>
        <w:tabs>
          <w:tab w:val="left" w:pos="6255"/>
        </w:tabs>
        <w:spacing w:line="360" w:lineRule="auto"/>
        <w:ind w:firstLine="600"/>
        <w:jc w:val="center"/>
        <w:rPr>
          <w:rFonts w:asciiTheme="minorEastAsia" w:eastAsiaTheme="minorEastAsia" w:hAnsiTheme="minorEastAsia"/>
          <w:b/>
          <w:sz w:val="24"/>
          <w:szCs w:val="21"/>
        </w:rPr>
      </w:pPr>
      <w:r w:rsidRPr="00160034">
        <w:rPr>
          <w:rFonts w:asciiTheme="minorEastAsia" w:eastAsiaTheme="minorEastAsia" w:hAnsiTheme="minorEastAsia" w:hint="eastAsia"/>
          <w:b/>
          <w:sz w:val="24"/>
          <w:szCs w:val="21"/>
        </w:rPr>
        <w:t>表2-1：总体就业率及毕业去向</w:t>
      </w:r>
    </w:p>
    <w:tbl>
      <w:tblPr>
        <w:tblStyle w:val="a5"/>
        <w:tblW w:w="8897" w:type="dxa"/>
        <w:tblLayout w:type="fixed"/>
        <w:tblLook w:val="04A0"/>
      </w:tblPr>
      <w:tblGrid>
        <w:gridCol w:w="3085"/>
        <w:gridCol w:w="1418"/>
        <w:gridCol w:w="1417"/>
        <w:gridCol w:w="2977"/>
      </w:tblGrid>
      <w:tr w:rsidR="004E4C1A" w:rsidRPr="004913BD" w:rsidTr="009C647C">
        <w:trPr>
          <w:trHeight w:val="57"/>
        </w:trPr>
        <w:tc>
          <w:tcPr>
            <w:tcW w:w="3085"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就业类别</w:t>
            </w:r>
          </w:p>
        </w:tc>
        <w:tc>
          <w:tcPr>
            <w:tcW w:w="1418"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人数</w:t>
            </w:r>
          </w:p>
        </w:tc>
        <w:tc>
          <w:tcPr>
            <w:tcW w:w="1417"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比例（%）</w:t>
            </w:r>
          </w:p>
        </w:tc>
        <w:tc>
          <w:tcPr>
            <w:tcW w:w="2977"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就业率</w:t>
            </w:r>
          </w:p>
        </w:tc>
      </w:tr>
      <w:tr w:rsidR="004E4C1A" w:rsidRPr="004913BD" w:rsidTr="009C647C">
        <w:trPr>
          <w:trHeight w:val="57"/>
        </w:trPr>
        <w:tc>
          <w:tcPr>
            <w:tcW w:w="3085"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回原籍</w:t>
            </w:r>
          </w:p>
        </w:tc>
        <w:tc>
          <w:tcPr>
            <w:tcW w:w="1418"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sz w:val="24"/>
              </w:rPr>
              <w:t>2052</w:t>
            </w:r>
          </w:p>
        </w:tc>
        <w:tc>
          <w:tcPr>
            <w:tcW w:w="1417" w:type="dxa"/>
            <w:vAlign w:val="center"/>
          </w:tcPr>
          <w:p w:rsidR="004E4C1A" w:rsidRPr="004913BD" w:rsidRDefault="004E4C1A" w:rsidP="009C647C">
            <w:pPr>
              <w:widowControl/>
              <w:jc w:val="center"/>
              <w:rPr>
                <w:rFonts w:asciiTheme="minorEastAsia" w:eastAsiaTheme="minorEastAsia" w:hAnsiTheme="minorEastAsia"/>
                <w:sz w:val="24"/>
              </w:rPr>
            </w:pPr>
            <w:bookmarkStart w:id="13" w:name="_Hlk29200001"/>
            <w:r w:rsidRPr="004913BD">
              <w:rPr>
                <w:rFonts w:asciiTheme="minorEastAsia" w:eastAsiaTheme="minorEastAsia" w:hAnsiTheme="minorEastAsia" w:hint="eastAsia"/>
                <w:sz w:val="24"/>
              </w:rPr>
              <w:t>84.72%</w:t>
            </w:r>
            <w:bookmarkEnd w:id="13"/>
          </w:p>
        </w:tc>
        <w:tc>
          <w:tcPr>
            <w:tcW w:w="2977" w:type="dxa"/>
            <w:vMerge w:val="restart"/>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9</w:t>
            </w:r>
            <w:r w:rsidRPr="004913BD">
              <w:rPr>
                <w:rFonts w:asciiTheme="minorEastAsia" w:eastAsiaTheme="minorEastAsia" w:hAnsiTheme="minorEastAsia"/>
                <w:sz w:val="24"/>
              </w:rPr>
              <w:t>6</w:t>
            </w:r>
            <w:r w:rsidRPr="004913BD">
              <w:rPr>
                <w:rFonts w:asciiTheme="minorEastAsia" w:eastAsiaTheme="minorEastAsia" w:hAnsiTheme="minorEastAsia" w:hint="eastAsia"/>
                <w:sz w:val="24"/>
              </w:rPr>
              <w:t>.</w:t>
            </w:r>
            <w:r w:rsidRPr="004913BD">
              <w:rPr>
                <w:rFonts w:asciiTheme="minorEastAsia" w:eastAsiaTheme="minorEastAsia" w:hAnsiTheme="minorEastAsia"/>
                <w:sz w:val="24"/>
              </w:rPr>
              <w:t>82</w:t>
            </w:r>
            <w:r w:rsidRPr="004913BD">
              <w:rPr>
                <w:rFonts w:asciiTheme="minorEastAsia" w:eastAsiaTheme="minorEastAsia" w:hAnsiTheme="minorEastAsia" w:hint="eastAsia"/>
                <w:sz w:val="24"/>
              </w:rPr>
              <w:t>%</w:t>
            </w:r>
          </w:p>
        </w:tc>
      </w:tr>
      <w:tr w:rsidR="004E4C1A" w:rsidRPr="004913BD" w:rsidTr="009C647C">
        <w:trPr>
          <w:trHeight w:val="57"/>
        </w:trPr>
        <w:tc>
          <w:tcPr>
            <w:tcW w:w="3085"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派遣</w:t>
            </w:r>
          </w:p>
        </w:tc>
        <w:tc>
          <w:tcPr>
            <w:tcW w:w="1418"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2</w:t>
            </w:r>
            <w:r w:rsidRPr="004913BD">
              <w:rPr>
                <w:rFonts w:asciiTheme="minorEastAsia" w:eastAsiaTheme="minorEastAsia" w:hAnsiTheme="minorEastAsia"/>
                <w:sz w:val="24"/>
              </w:rPr>
              <w:t>36</w:t>
            </w:r>
          </w:p>
        </w:tc>
        <w:tc>
          <w:tcPr>
            <w:tcW w:w="1417" w:type="dxa"/>
            <w:vAlign w:val="center"/>
          </w:tcPr>
          <w:p w:rsidR="004E4C1A" w:rsidRPr="004913BD" w:rsidRDefault="004E4C1A" w:rsidP="009C647C">
            <w:pPr>
              <w:jc w:val="center"/>
              <w:rPr>
                <w:rFonts w:asciiTheme="minorEastAsia" w:eastAsiaTheme="minorEastAsia" w:hAnsiTheme="minorEastAsia"/>
                <w:sz w:val="24"/>
              </w:rPr>
            </w:pPr>
            <w:r w:rsidRPr="004913BD">
              <w:rPr>
                <w:rFonts w:asciiTheme="minorEastAsia" w:eastAsiaTheme="minorEastAsia" w:hAnsiTheme="minorEastAsia" w:hint="eastAsia"/>
                <w:sz w:val="24"/>
              </w:rPr>
              <w:t>9.74%</w:t>
            </w:r>
          </w:p>
        </w:tc>
        <w:tc>
          <w:tcPr>
            <w:tcW w:w="2977" w:type="dxa"/>
            <w:vMerge/>
            <w:vAlign w:val="center"/>
          </w:tcPr>
          <w:p w:rsidR="004E4C1A" w:rsidRPr="004913BD" w:rsidRDefault="004E4C1A" w:rsidP="009C647C">
            <w:pPr>
              <w:tabs>
                <w:tab w:val="left" w:pos="6255"/>
              </w:tabs>
              <w:jc w:val="center"/>
              <w:rPr>
                <w:rFonts w:asciiTheme="minorEastAsia" w:eastAsiaTheme="minorEastAsia" w:hAnsiTheme="minorEastAsia"/>
                <w:sz w:val="24"/>
              </w:rPr>
            </w:pPr>
          </w:p>
        </w:tc>
      </w:tr>
      <w:tr w:rsidR="004E4C1A" w:rsidRPr="004913BD" w:rsidTr="009C647C">
        <w:trPr>
          <w:trHeight w:val="57"/>
        </w:trPr>
        <w:tc>
          <w:tcPr>
            <w:tcW w:w="3085"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升学</w:t>
            </w:r>
          </w:p>
        </w:tc>
        <w:tc>
          <w:tcPr>
            <w:tcW w:w="1418"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sz w:val="24"/>
              </w:rPr>
              <w:t>133</w:t>
            </w:r>
          </w:p>
        </w:tc>
        <w:tc>
          <w:tcPr>
            <w:tcW w:w="1417" w:type="dxa"/>
            <w:vAlign w:val="center"/>
          </w:tcPr>
          <w:p w:rsidR="004E4C1A" w:rsidRPr="004913BD" w:rsidRDefault="004E4C1A" w:rsidP="009C647C">
            <w:pPr>
              <w:jc w:val="center"/>
              <w:rPr>
                <w:rFonts w:asciiTheme="minorEastAsia" w:eastAsiaTheme="minorEastAsia" w:hAnsiTheme="minorEastAsia"/>
                <w:sz w:val="24"/>
              </w:rPr>
            </w:pPr>
            <w:r w:rsidRPr="004913BD">
              <w:rPr>
                <w:rFonts w:asciiTheme="minorEastAsia" w:eastAsiaTheme="minorEastAsia" w:hAnsiTheme="minorEastAsia" w:hint="eastAsia"/>
                <w:sz w:val="24"/>
              </w:rPr>
              <w:t>5.49%</w:t>
            </w:r>
          </w:p>
        </w:tc>
        <w:tc>
          <w:tcPr>
            <w:tcW w:w="2977" w:type="dxa"/>
            <w:vMerge/>
            <w:vAlign w:val="center"/>
          </w:tcPr>
          <w:p w:rsidR="004E4C1A" w:rsidRPr="004913BD" w:rsidRDefault="004E4C1A" w:rsidP="009C647C">
            <w:pPr>
              <w:tabs>
                <w:tab w:val="left" w:pos="6255"/>
              </w:tabs>
              <w:jc w:val="center"/>
              <w:rPr>
                <w:rFonts w:asciiTheme="minorEastAsia" w:eastAsiaTheme="minorEastAsia" w:hAnsiTheme="minorEastAsia"/>
                <w:sz w:val="24"/>
              </w:rPr>
            </w:pPr>
          </w:p>
        </w:tc>
      </w:tr>
      <w:tr w:rsidR="004E4C1A" w:rsidRPr="004913BD" w:rsidTr="009C647C">
        <w:trPr>
          <w:trHeight w:val="57"/>
        </w:trPr>
        <w:tc>
          <w:tcPr>
            <w:tcW w:w="3085"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hint="eastAsia"/>
                <w:sz w:val="24"/>
              </w:rPr>
              <w:t>出国</w:t>
            </w:r>
          </w:p>
        </w:tc>
        <w:tc>
          <w:tcPr>
            <w:tcW w:w="1418" w:type="dxa"/>
            <w:vAlign w:val="center"/>
          </w:tcPr>
          <w:p w:rsidR="004E4C1A" w:rsidRPr="004913BD" w:rsidRDefault="004E4C1A" w:rsidP="009C647C">
            <w:pPr>
              <w:tabs>
                <w:tab w:val="left" w:pos="6255"/>
              </w:tabs>
              <w:jc w:val="center"/>
              <w:rPr>
                <w:rFonts w:asciiTheme="minorEastAsia" w:eastAsiaTheme="minorEastAsia" w:hAnsiTheme="minorEastAsia"/>
                <w:sz w:val="24"/>
              </w:rPr>
            </w:pPr>
            <w:r w:rsidRPr="004913BD">
              <w:rPr>
                <w:rFonts w:asciiTheme="minorEastAsia" w:eastAsiaTheme="minorEastAsia" w:hAnsiTheme="minorEastAsia"/>
                <w:sz w:val="24"/>
              </w:rPr>
              <w:t>1</w:t>
            </w:r>
          </w:p>
        </w:tc>
        <w:tc>
          <w:tcPr>
            <w:tcW w:w="1417" w:type="dxa"/>
            <w:vAlign w:val="center"/>
          </w:tcPr>
          <w:p w:rsidR="004E4C1A" w:rsidRPr="004913BD" w:rsidRDefault="004E4C1A" w:rsidP="009C647C">
            <w:pPr>
              <w:jc w:val="center"/>
              <w:rPr>
                <w:rFonts w:asciiTheme="minorEastAsia" w:eastAsiaTheme="minorEastAsia" w:hAnsiTheme="minorEastAsia"/>
                <w:sz w:val="24"/>
              </w:rPr>
            </w:pPr>
            <w:r w:rsidRPr="004913BD">
              <w:rPr>
                <w:rFonts w:asciiTheme="minorEastAsia" w:eastAsiaTheme="minorEastAsia" w:hAnsiTheme="minorEastAsia" w:hint="eastAsia"/>
                <w:sz w:val="24"/>
              </w:rPr>
              <w:t>0.04%</w:t>
            </w:r>
          </w:p>
        </w:tc>
        <w:tc>
          <w:tcPr>
            <w:tcW w:w="2977" w:type="dxa"/>
            <w:vMerge/>
            <w:vAlign w:val="center"/>
          </w:tcPr>
          <w:p w:rsidR="004E4C1A" w:rsidRPr="004913BD" w:rsidRDefault="004E4C1A" w:rsidP="009C647C">
            <w:pPr>
              <w:tabs>
                <w:tab w:val="left" w:pos="6255"/>
              </w:tabs>
              <w:jc w:val="center"/>
              <w:rPr>
                <w:rFonts w:asciiTheme="minorEastAsia" w:eastAsiaTheme="minorEastAsia" w:hAnsiTheme="minorEastAsia"/>
                <w:sz w:val="24"/>
              </w:rPr>
            </w:pPr>
          </w:p>
        </w:tc>
      </w:tr>
    </w:tbl>
    <w:p w:rsidR="004E4C1A" w:rsidRPr="004E4C1A" w:rsidRDefault="004E4C1A" w:rsidP="0098054E">
      <w:pPr>
        <w:spacing w:beforeLines="50" w:afterLines="50"/>
        <w:outlineLvl w:val="1"/>
        <w:rPr>
          <w:rFonts w:ascii="方正楷体简体" w:eastAsia="方正楷体简体" w:hAnsi="Helvetica" w:cs="Helvetica"/>
          <w:b/>
          <w:sz w:val="32"/>
          <w:szCs w:val="32"/>
        </w:rPr>
      </w:pPr>
      <w:bookmarkStart w:id="14" w:name="_Toc29308491"/>
      <w:r w:rsidRPr="004E4C1A">
        <w:rPr>
          <w:rFonts w:ascii="方正楷体简体" w:eastAsia="方正楷体简体" w:hAnsi="Helvetica" w:cs="Helvetica" w:hint="eastAsia"/>
          <w:b/>
          <w:sz w:val="32"/>
          <w:szCs w:val="32"/>
        </w:rPr>
        <w:t>二、各院系及专业的就业率</w:t>
      </w:r>
      <w:bookmarkEnd w:id="14"/>
    </w:p>
    <w:p w:rsidR="004E4C1A" w:rsidRPr="004E4C1A" w:rsidRDefault="004E4C1A" w:rsidP="004E4C1A">
      <w:pPr>
        <w:ind w:firstLineChars="200" w:firstLine="640"/>
        <w:jc w:val="left"/>
        <w:rPr>
          <w:rFonts w:ascii="方正仿宋_GBK" w:eastAsia="方正仿宋_GBK"/>
          <w:sz w:val="32"/>
          <w:szCs w:val="32"/>
        </w:rPr>
      </w:pPr>
      <w:r w:rsidRPr="004E4C1A">
        <w:rPr>
          <w:rFonts w:ascii="方正仿宋_GBK" w:eastAsia="方正仿宋_GBK" w:hint="eastAsia"/>
          <w:sz w:val="32"/>
          <w:szCs w:val="32"/>
        </w:rPr>
        <w:lastRenderedPageBreak/>
        <w:t>各院系就业率均在91%以上，各系部都有专业的就业率达到了100%，充分体现了我校专业设置的合理性。如表2-2所示：</w:t>
      </w:r>
    </w:p>
    <w:p w:rsidR="004E4C1A" w:rsidRPr="00160034" w:rsidRDefault="004E4C1A" w:rsidP="00160034">
      <w:pPr>
        <w:tabs>
          <w:tab w:val="left" w:pos="6255"/>
        </w:tabs>
        <w:spacing w:line="360" w:lineRule="auto"/>
        <w:ind w:firstLineChars="200" w:firstLine="482"/>
        <w:jc w:val="center"/>
        <w:rPr>
          <w:rFonts w:asciiTheme="minorEastAsia" w:eastAsiaTheme="minorEastAsia" w:hAnsiTheme="minorEastAsia"/>
          <w:b/>
          <w:sz w:val="24"/>
          <w:szCs w:val="21"/>
        </w:rPr>
      </w:pPr>
      <w:bookmarkStart w:id="15" w:name="_Hlk29197299"/>
      <w:r w:rsidRPr="00160034">
        <w:rPr>
          <w:rFonts w:asciiTheme="minorEastAsia" w:eastAsiaTheme="minorEastAsia" w:hAnsiTheme="minorEastAsia" w:hint="eastAsia"/>
          <w:b/>
          <w:sz w:val="24"/>
          <w:szCs w:val="21"/>
        </w:rPr>
        <w:t>表2-2：各院系及专业就业率</w:t>
      </w:r>
    </w:p>
    <w:tbl>
      <w:tblPr>
        <w:tblStyle w:val="a5"/>
        <w:tblW w:w="9573" w:type="dxa"/>
        <w:jc w:val="center"/>
        <w:tblLook w:val="04A0"/>
      </w:tblPr>
      <w:tblGrid>
        <w:gridCol w:w="2400"/>
        <w:gridCol w:w="3255"/>
        <w:gridCol w:w="1305"/>
        <w:gridCol w:w="1305"/>
        <w:gridCol w:w="1308"/>
      </w:tblGrid>
      <w:tr w:rsidR="004E4C1A" w:rsidRPr="00F7154E" w:rsidTr="00DA3D1F">
        <w:trPr>
          <w:trHeight w:val="235"/>
          <w:tblHeader/>
          <w:jc w:val="center"/>
        </w:trPr>
        <w:tc>
          <w:tcPr>
            <w:tcW w:w="2400" w:type="dxa"/>
            <w:vMerge w:val="restart"/>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r w:rsidRPr="00F7154E">
              <w:rPr>
                <w:rFonts w:asciiTheme="minorEastAsia" w:eastAsiaTheme="minorEastAsia" w:hAnsiTheme="minorEastAsia" w:cs="宋体" w:hint="eastAsia"/>
                <w:b/>
                <w:kern w:val="0"/>
                <w:sz w:val="24"/>
              </w:rPr>
              <w:t>院系</w:t>
            </w:r>
          </w:p>
        </w:tc>
        <w:tc>
          <w:tcPr>
            <w:tcW w:w="3255" w:type="dxa"/>
            <w:vMerge w:val="restart"/>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r w:rsidRPr="00F7154E">
              <w:rPr>
                <w:rFonts w:asciiTheme="minorEastAsia" w:eastAsiaTheme="minorEastAsia" w:hAnsiTheme="minorEastAsia" w:cs="宋体" w:hint="eastAsia"/>
                <w:b/>
                <w:kern w:val="0"/>
                <w:sz w:val="24"/>
              </w:rPr>
              <w:t>专业</w:t>
            </w:r>
          </w:p>
        </w:tc>
        <w:tc>
          <w:tcPr>
            <w:tcW w:w="3918" w:type="dxa"/>
            <w:gridSpan w:val="3"/>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r w:rsidRPr="00F7154E">
              <w:rPr>
                <w:rFonts w:asciiTheme="minorEastAsia" w:eastAsiaTheme="minorEastAsia" w:hAnsiTheme="minorEastAsia" w:cs="宋体" w:hint="eastAsia"/>
                <w:b/>
                <w:kern w:val="0"/>
                <w:sz w:val="24"/>
              </w:rPr>
              <w:t>全校合计</w:t>
            </w:r>
          </w:p>
        </w:tc>
      </w:tr>
      <w:tr w:rsidR="004E4C1A" w:rsidRPr="00F7154E" w:rsidTr="00DA3D1F">
        <w:trPr>
          <w:trHeight w:val="106"/>
          <w:tblHeader/>
          <w:jc w:val="center"/>
        </w:trPr>
        <w:tc>
          <w:tcPr>
            <w:tcW w:w="2400" w:type="dxa"/>
            <w:vMerge/>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p>
        </w:tc>
        <w:tc>
          <w:tcPr>
            <w:tcW w:w="3255" w:type="dxa"/>
            <w:vMerge/>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p>
        </w:tc>
        <w:tc>
          <w:tcPr>
            <w:tcW w:w="1305" w:type="dxa"/>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r w:rsidRPr="00F7154E">
              <w:rPr>
                <w:rFonts w:asciiTheme="minorEastAsia" w:eastAsiaTheme="minorEastAsia" w:hAnsiTheme="minorEastAsia" w:cs="宋体" w:hint="eastAsia"/>
                <w:b/>
                <w:kern w:val="0"/>
                <w:sz w:val="24"/>
              </w:rPr>
              <w:t>毕业人数</w:t>
            </w:r>
          </w:p>
        </w:tc>
        <w:tc>
          <w:tcPr>
            <w:tcW w:w="1305" w:type="dxa"/>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r w:rsidRPr="00F7154E">
              <w:rPr>
                <w:rFonts w:asciiTheme="minorEastAsia" w:eastAsiaTheme="minorEastAsia" w:hAnsiTheme="minorEastAsia" w:cs="宋体" w:hint="eastAsia"/>
                <w:b/>
                <w:kern w:val="0"/>
                <w:sz w:val="24"/>
              </w:rPr>
              <w:t>就业人数</w:t>
            </w:r>
          </w:p>
        </w:tc>
        <w:tc>
          <w:tcPr>
            <w:tcW w:w="1308" w:type="dxa"/>
            <w:vAlign w:val="center"/>
            <w:hideMark/>
          </w:tcPr>
          <w:p w:rsidR="004E4C1A" w:rsidRPr="00F7154E" w:rsidRDefault="004E4C1A" w:rsidP="00070365">
            <w:pPr>
              <w:widowControl/>
              <w:jc w:val="center"/>
              <w:rPr>
                <w:rFonts w:asciiTheme="minorEastAsia" w:eastAsiaTheme="minorEastAsia" w:hAnsiTheme="minorEastAsia" w:cs="宋体"/>
                <w:b/>
                <w:kern w:val="0"/>
                <w:sz w:val="24"/>
              </w:rPr>
            </w:pPr>
            <w:r w:rsidRPr="00F7154E">
              <w:rPr>
                <w:rFonts w:asciiTheme="minorEastAsia" w:eastAsiaTheme="minorEastAsia" w:hAnsiTheme="minorEastAsia" w:cs="宋体" w:hint="eastAsia"/>
                <w:b/>
                <w:kern w:val="0"/>
                <w:sz w:val="24"/>
              </w:rPr>
              <w:t>就业率%</w:t>
            </w:r>
          </w:p>
        </w:tc>
      </w:tr>
      <w:tr w:rsidR="004E4C1A" w:rsidRPr="00F7154E" w:rsidTr="00DA3D1F">
        <w:trPr>
          <w:trHeight w:val="71"/>
          <w:jc w:val="center"/>
        </w:trPr>
        <w:tc>
          <w:tcPr>
            <w:tcW w:w="2400"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合计</w:t>
            </w: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2422</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2345</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96.82%</w:t>
            </w:r>
          </w:p>
        </w:tc>
      </w:tr>
      <w:tr w:rsidR="004E4C1A" w:rsidRPr="00F7154E" w:rsidTr="00DA3D1F">
        <w:trPr>
          <w:trHeight w:val="71"/>
          <w:jc w:val="center"/>
        </w:trPr>
        <w:tc>
          <w:tcPr>
            <w:tcW w:w="2400" w:type="dxa"/>
            <w:vMerge w:val="restart"/>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土木工程系</w:t>
            </w:r>
          </w:p>
        </w:tc>
        <w:tc>
          <w:tcPr>
            <w:tcW w:w="3255" w:type="dxa"/>
            <w:noWrap/>
            <w:vAlign w:val="center"/>
            <w:hideMark/>
          </w:tcPr>
          <w:p w:rsidR="004E4C1A" w:rsidRPr="00F7154E" w:rsidRDefault="00F7154E" w:rsidP="0007036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537</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518</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96.46%</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工程测量技术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31</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30</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96.77%</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建筑工程技术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433</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418</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96.54%</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土木工程检测技术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24</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22</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91.67%</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建设工程监理</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49</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48</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97.96%</w:t>
            </w:r>
          </w:p>
        </w:tc>
      </w:tr>
      <w:tr w:rsidR="004E4C1A" w:rsidRPr="00F7154E" w:rsidTr="00DA3D1F">
        <w:trPr>
          <w:trHeight w:val="71"/>
          <w:jc w:val="center"/>
        </w:trPr>
        <w:tc>
          <w:tcPr>
            <w:tcW w:w="2400" w:type="dxa"/>
            <w:vMerge w:val="restart"/>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建设管理与房地产系</w:t>
            </w:r>
          </w:p>
        </w:tc>
        <w:tc>
          <w:tcPr>
            <w:tcW w:w="3255" w:type="dxa"/>
            <w:noWrap/>
            <w:vAlign w:val="center"/>
            <w:hideMark/>
          </w:tcPr>
          <w:p w:rsidR="004E4C1A" w:rsidRPr="00F7154E" w:rsidRDefault="00F7154E" w:rsidP="0007036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1071</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1032</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96.36%</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建设工程管理</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193</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183</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94.82%</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工程造价</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616</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598</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97.08%</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房地产经营与管理</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27</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26</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96.30%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财务管理</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201</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194</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96.52%</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社区管理与服务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34</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31</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91.18%</w:t>
            </w:r>
          </w:p>
        </w:tc>
      </w:tr>
      <w:tr w:rsidR="004E4C1A" w:rsidRPr="00F7154E" w:rsidTr="00DA3D1F">
        <w:trPr>
          <w:trHeight w:val="71"/>
          <w:jc w:val="center"/>
        </w:trPr>
        <w:tc>
          <w:tcPr>
            <w:tcW w:w="2400" w:type="dxa"/>
            <w:vMerge w:val="restart"/>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建筑与艺术系</w:t>
            </w:r>
          </w:p>
        </w:tc>
        <w:tc>
          <w:tcPr>
            <w:tcW w:w="3255" w:type="dxa"/>
            <w:noWrap/>
            <w:vAlign w:val="center"/>
            <w:hideMark/>
          </w:tcPr>
          <w:p w:rsidR="004E4C1A" w:rsidRPr="00F7154E" w:rsidRDefault="00F7154E" w:rsidP="0007036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277</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276</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99.64%</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建筑装饰工程技术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65</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65</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风景园林设计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23</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23</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园林工程技术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21</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21</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城镇建设</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室内艺术设计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60</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60</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环境艺术设计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99</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98</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98.99%</w:t>
            </w:r>
          </w:p>
        </w:tc>
      </w:tr>
      <w:tr w:rsidR="004E4C1A" w:rsidRPr="00F7154E" w:rsidTr="00DA3D1F">
        <w:trPr>
          <w:trHeight w:val="71"/>
          <w:jc w:val="center"/>
        </w:trPr>
        <w:tc>
          <w:tcPr>
            <w:tcW w:w="2400" w:type="dxa"/>
            <w:vMerge w:val="restart"/>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轨道与机电工程系</w:t>
            </w:r>
          </w:p>
        </w:tc>
        <w:tc>
          <w:tcPr>
            <w:tcW w:w="3255" w:type="dxa"/>
            <w:noWrap/>
            <w:vAlign w:val="center"/>
            <w:hideMark/>
          </w:tcPr>
          <w:p w:rsidR="004E4C1A" w:rsidRPr="00F7154E" w:rsidRDefault="00F7154E" w:rsidP="0007036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360</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348</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96.67%</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建筑电气工程技术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22</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22</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机电一体化技术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21</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21</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城市轨道交通车辆技术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63</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62</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98.41%</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城市轨道交通工程技术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129</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122</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94.57%</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城市轨道交通运营管理</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125</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121</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96.80%</w:t>
            </w:r>
          </w:p>
        </w:tc>
      </w:tr>
      <w:tr w:rsidR="004E4C1A" w:rsidRPr="00F7154E" w:rsidTr="00DA3D1F">
        <w:trPr>
          <w:trHeight w:val="71"/>
          <w:jc w:val="center"/>
        </w:trPr>
        <w:tc>
          <w:tcPr>
            <w:tcW w:w="2400" w:type="dxa"/>
            <w:vMerge w:val="restart"/>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交通与市政工程系</w:t>
            </w:r>
          </w:p>
        </w:tc>
        <w:tc>
          <w:tcPr>
            <w:tcW w:w="3255" w:type="dxa"/>
            <w:noWrap/>
            <w:vAlign w:val="center"/>
            <w:hideMark/>
          </w:tcPr>
          <w:p w:rsidR="004E4C1A" w:rsidRPr="00F7154E" w:rsidRDefault="00F7154E" w:rsidP="0007036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小计</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177</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171</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96.61%</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市政工程技术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32</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32</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100.00%</w:t>
            </w:r>
          </w:p>
        </w:tc>
      </w:tr>
      <w:tr w:rsidR="004E4C1A" w:rsidRPr="00F7154E" w:rsidTr="00DA3D1F">
        <w:trPr>
          <w:trHeight w:val="71"/>
          <w:jc w:val="center"/>
        </w:trPr>
        <w:tc>
          <w:tcPr>
            <w:tcW w:w="2400" w:type="dxa"/>
            <w:vMerge/>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p>
        </w:tc>
        <w:tc>
          <w:tcPr>
            <w:tcW w:w="325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道路桥梁工程技术</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145</w:t>
            </w:r>
          </w:p>
        </w:tc>
        <w:tc>
          <w:tcPr>
            <w:tcW w:w="1305"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139</w:t>
            </w:r>
          </w:p>
        </w:tc>
        <w:tc>
          <w:tcPr>
            <w:tcW w:w="1308" w:type="dxa"/>
            <w:noWrap/>
            <w:vAlign w:val="center"/>
            <w:hideMark/>
          </w:tcPr>
          <w:p w:rsidR="004E4C1A" w:rsidRPr="00F7154E" w:rsidRDefault="004E4C1A" w:rsidP="00070365">
            <w:pPr>
              <w:widowControl/>
              <w:jc w:val="center"/>
              <w:rPr>
                <w:rFonts w:asciiTheme="minorEastAsia" w:eastAsiaTheme="minorEastAsia" w:hAnsiTheme="minorEastAsia" w:cs="宋体"/>
                <w:kern w:val="0"/>
                <w:sz w:val="24"/>
              </w:rPr>
            </w:pPr>
            <w:r w:rsidRPr="00F7154E">
              <w:rPr>
                <w:rFonts w:asciiTheme="minorEastAsia" w:eastAsiaTheme="minorEastAsia" w:hAnsiTheme="minorEastAsia" w:cs="宋体"/>
                <w:kern w:val="0"/>
                <w:sz w:val="24"/>
              </w:rPr>
              <w:t>95.86%</w:t>
            </w:r>
          </w:p>
        </w:tc>
      </w:tr>
    </w:tbl>
    <w:p w:rsidR="004E4C1A" w:rsidRPr="004731DD" w:rsidRDefault="00DA3D1F" w:rsidP="0098054E">
      <w:pPr>
        <w:spacing w:beforeLines="50" w:afterLines="50"/>
        <w:outlineLvl w:val="1"/>
        <w:rPr>
          <w:rFonts w:ascii="方正楷体简体" w:eastAsia="方正楷体简体" w:hAnsi="Helvetica" w:cs="Helvetica"/>
          <w:b/>
          <w:sz w:val="32"/>
          <w:szCs w:val="32"/>
        </w:rPr>
      </w:pPr>
      <w:bookmarkStart w:id="16" w:name="_Toc29308492"/>
      <w:bookmarkEnd w:id="15"/>
      <w:r>
        <w:rPr>
          <w:rFonts w:ascii="方正楷体简体" w:eastAsia="方正楷体简体" w:hAnsi="Helvetica" w:cs="Helvetica" w:hint="eastAsia"/>
          <w:b/>
          <w:sz w:val="32"/>
          <w:szCs w:val="32"/>
        </w:rPr>
        <w:t>三、</w:t>
      </w:r>
      <w:r w:rsidR="004E4C1A" w:rsidRPr="004731DD">
        <w:rPr>
          <w:rFonts w:ascii="方正楷体简体" w:eastAsia="方正楷体简体" w:hAnsi="Helvetica" w:cs="Helvetica" w:hint="eastAsia"/>
          <w:b/>
          <w:sz w:val="32"/>
          <w:szCs w:val="32"/>
        </w:rPr>
        <w:t>毕业生就业流向</w:t>
      </w:r>
      <w:bookmarkEnd w:id="16"/>
    </w:p>
    <w:p w:rsidR="004E4C1A" w:rsidRPr="004731DD" w:rsidRDefault="004731DD" w:rsidP="004731DD">
      <w:pPr>
        <w:jc w:val="left"/>
        <w:rPr>
          <w:rFonts w:ascii="方正仿宋_GBK" w:eastAsia="方正仿宋_GBK"/>
          <w:b/>
          <w:sz w:val="32"/>
          <w:szCs w:val="32"/>
        </w:rPr>
      </w:pPr>
      <w:r w:rsidRPr="004731DD">
        <w:rPr>
          <w:rFonts w:ascii="方正仿宋_GBK" w:eastAsia="方正仿宋_GBK" w:hint="eastAsia"/>
          <w:b/>
          <w:sz w:val="32"/>
          <w:szCs w:val="32"/>
        </w:rPr>
        <w:t>（一）</w:t>
      </w:r>
      <w:r w:rsidR="004E4C1A" w:rsidRPr="004731DD">
        <w:rPr>
          <w:rFonts w:ascii="方正仿宋_GBK" w:eastAsia="方正仿宋_GBK" w:hint="eastAsia"/>
          <w:b/>
          <w:sz w:val="32"/>
          <w:szCs w:val="32"/>
        </w:rPr>
        <w:t>就业形式</w:t>
      </w:r>
    </w:p>
    <w:p w:rsidR="004E4C1A" w:rsidRDefault="004E4C1A" w:rsidP="004E4C1A">
      <w:pPr>
        <w:ind w:firstLineChars="200" w:firstLine="640"/>
        <w:jc w:val="left"/>
        <w:rPr>
          <w:rFonts w:ascii="方正仿宋_GBK" w:eastAsia="方正仿宋_GBK"/>
          <w:sz w:val="32"/>
          <w:szCs w:val="32"/>
        </w:rPr>
      </w:pPr>
      <w:r w:rsidRPr="004E4C1A">
        <w:rPr>
          <w:rFonts w:ascii="方正仿宋_GBK" w:eastAsia="方正仿宋_GBK" w:hint="eastAsia"/>
          <w:sz w:val="32"/>
          <w:szCs w:val="32"/>
        </w:rPr>
        <w:lastRenderedPageBreak/>
        <w:t>学院201</w:t>
      </w:r>
      <w:r w:rsidRPr="004E4C1A">
        <w:rPr>
          <w:rFonts w:ascii="方正仿宋_GBK" w:eastAsia="方正仿宋_GBK"/>
          <w:sz w:val="32"/>
          <w:szCs w:val="32"/>
        </w:rPr>
        <w:t>9</w:t>
      </w:r>
      <w:r w:rsidRPr="004E4C1A">
        <w:rPr>
          <w:rFonts w:ascii="方正仿宋_GBK" w:eastAsia="方正仿宋_GBK" w:hint="eastAsia"/>
          <w:sz w:val="32"/>
          <w:szCs w:val="32"/>
        </w:rPr>
        <w:t>届毕业生就业形式包含单位就业、升学、自主创业、出国出境、应征入伍、自由职业六种形式，其中以单位就业为主，自由职业、升学次之。毕业生就业形式具体分布如图2-1所示：</w:t>
      </w:r>
    </w:p>
    <w:p w:rsidR="00160034" w:rsidRDefault="00160034" w:rsidP="00160034">
      <w:pPr>
        <w:tabs>
          <w:tab w:val="left" w:pos="6255"/>
        </w:tabs>
        <w:spacing w:line="360" w:lineRule="auto"/>
        <w:ind w:left="150"/>
        <w:jc w:val="center"/>
        <w:rPr>
          <w:rFonts w:asciiTheme="minorEastAsia" w:eastAsiaTheme="minorEastAsia" w:hAnsiTheme="minorEastAsia"/>
          <w:b/>
          <w:sz w:val="24"/>
          <w:szCs w:val="21"/>
        </w:rPr>
      </w:pPr>
      <w:r w:rsidRPr="00160034">
        <w:rPr>
          <w:rFonts w:asciiTheme="minorEastAsia" w:eastAsiaTheme="minorEastAsia" w:hAnsiTheme="minorEastAsia" w:hint="eastAsia"/>
          <w:b/>
          <w:sz w:val="24"/>
          <w:szCs w:val="21"/>
        </w:rPr>
        <w:t>图2-1：就业形式</w:t>
      </w:r>
    </w:p>
    <w:p w:rsidR="004E4C1A" w:rsidRPr="004E4C1A" w:rsidRDefault="004E4C1A" w:rsidP="004E4C1A">
      <w:pPr>
        <w:tabs>
          <w:tab w:val="left" w:pos="6255"/>
        </w:tabs>
        <w:spacing w:line="360" w:lineRule="auto"/>
        <w:ind w:left="150"/>
        <w:rPr>
          <w:rFonts w:ascii="方正仿宋_GBK" w:eastAsia="方正仿宋_GBK" w:hAnsi="宋体"/>
          <w:sz w:val="24"/>
        </w:rPr>
      </w:pPr>
      <w:r w:rsidRPr="004E4C1A">
        <w:rPr>
          <w:rFonts w:ascii="方正仿宋_GBK" w:eastAsia="方正仿宋_GBK" w:hAnsi="宋体"/>
          <w:noProof/>
          <w:sz w:val="24"/>
        </w:rPr>
        <w:drawing>
          <wp:inline distT="0" distB="0" distL="0" distR="0">
            <wp:extent cx="5286375" cy="2867025"/>
            <wp:effectExtent l="0" t="0" r="0" b="0"/>
            <wp:docPr id="10"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4C1A" w:rsidRPr="004731DD" w:rsidRDefault="004731DD" w:rsidP="004731DD">
      <w:pPr>
        <w:jc w:val="left"/>
        <w:rPr>
          <w:rFonts w:ascii="方正仿宋_GBK" w:eastAsia="方正仿宋_GBK"/>
          <w:b/>
          <w:sz w:val="32"/>
          <w:szCs w:val="32"/>
        </w:rPr>
      </w:pPr>
      <w:r>
        <w:rPr>
          <w:rFonts w:ascii="方正仿宋_GBK" w:eastAsia="方正仿宋_GBK" w:hint="eastAsia"/>
          <w:b/>
          <w:sz w:val="32"/>
          <w:szCs w:val="32"/>
        </w:rPr>
        <w:t>（二）</w:t>
      </w:r>
      <w:r w:rsidR="004E4C1A" w:rsidRPr="004731DD">
        <w:rPr>
          <w:rFonts w:ascii="方正仿宋_GBK" w:eastAsia="方正仿宋_GBK" w:hint="eastAsia"/>
          <w:b/>
          <w:sz w:val="32"/>
          <w:szCs w:val="32"/>
        </w:rPr>
        <w:t>就业地区流向</w:t>
      </w:r>
    </w:p>
    <w:p w:rsidR="004E4C1A" w:rsidRPr="004E4C1A" w:rsidRDefault="004E4C1A" w:rsidP="004E4C1A">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就业区域：学院201</w:t>
      </w:r>
      <w:r w:rsidRPr="004E4C1A">
        <w:rPr>
          <w:rFonts w:ascii="方正仿宋_GBK" w:eastAsia="方正仿宋_GBK"/>
          <w:sz w:val="32"/>
          <w:szCs w:val="32"/>
        </w:rPr>
        <w:t>9</w:t>
      </w:r>
      <w:r w:rsidRPr="004E4C1A">
        <w:rPr>
          <w:rFonts w:ascii="方正仿宋_GBK" w:eastAsia="方正仿宋_GBK" w:hint="eastAsia"/>
          <w:sz w:val="32"/>
          <w:szCs w:val="32"/>
        </w:rPr>
        <w:t>届毕业生就业覆盖全国</w:t>
      </w:r>
      <w:r w:rsidRPr="004E4C1A">
        <w:rPr>
          <w:rFonts w:ascii="方正仿宋_GBK" w:eastAsia="方正仿宋_GBK"/>
          <w:sz w:val="32"/>
          <w:szCs w:val="32"/>
        </w:rPr>
        <w:t>28</w:t>
      </w:r>
      <w:r w:rsidRPr="004E4C1A">
        <w:rPr>
          <w:rFonts w:ascii="方正仿宋_GBK" w:eastAsia="方正仿宋_GBK" w:hint="eastAsia"/>
          <w:sz w:val="32"/>
          <w:szCs w:val="32"/>
        </w:rPr>
        <w:t>省（直辖市、自治区），各大区域流向依次为重庆市、四川省、贵州省、广东省等，如图2-2所示：</w:t>
      </w:r>
    </w:p>
    <w:p w:rsidR="004E4C1A" w:rsidRPr="00160034" w:rsidRDefault="004E4C1A" w:rsidP="00160034">
      <w:pPr>
        <w:ind w:leftChars="71" w:left="149" w:firstLineChars="150" w:firstLine="361"/>
        <w:jc w:val="center"/>
        <w:rPr>
          <w:rFonts w:asciiTheme="minorEastAsia" w:eastAsiaTheme="minorEastAsia" w:hAnsiTheme="minorEastAsia"/>
          <w:b/>
          <w:sz w:val="24"/>
          <w:szCs w:val="21"/>
        </w:rPr>
      </w:pPr>
      <w:r w:rsidRPr="00160034">
        <w:rPr>
          <w:rFonts w:asciiTheme="minorEastAsia" w:eastAsiaTheme="minorEastAsia" w:hAnsiTheme="minorEastAsia" w:hint="eastAsia"/>
          <w:b/>
          <w:sz w:val="24"/>
          <w:szCs w:val="21"/>
        </w:rPr>
        <w:t>图2-2：就业地区流向</w:t>
      </w:r>
    </w:p>
    <w:p w:rsidR="004E4C1A" w:rsidRPr="004E4C1A" w:rsidRDefault="004E4C1A" w:rsidP="004E4C1A">
      <w:pPr>
        <w:ind w:left="150"/>
        <w:rPr>
          <w:rFonts w:ascii="方正仿宋_GBK" w:eastAsia="方正仿宋_GBK" w:hAnsi="Calibri"/>
          <w:sz w:val="24"/>
        </w:rPr>
      </w:pPr>
      <w:r w:rsidRPr="004E4C1A">
        <w:rPr>
          <w:rFonts w:ascii="方正仿宋_GBK" w:eastAsia="方正仿宋_GBK" w:hAnsi="Calibri"/>
          <w:noProof/>
          <w:sz w:val="24"/>
        </w:rPr>
        <w:lastRenderedPageBreak/>
        <w:drawing>
          <wp:inline distT="0" distB="0" distL="0" distR="0">
            <wp:extent cx="5114925" cy="4238625"/>
            <wp:effectExtent l="0" t="0" r="0" b="0"/>
            <wp:docPr id="18" name="图表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4C1A" w:rsidRPr="004731DD" w:rsidRDefault="004731DD" w:rsidP="004731DD">
      <w:pPr>
        <w:jc w:val="left"/>
        <w:rPr>
          <w:rFonts w:ascii="方正仿宋_GBK" w:eastAsia="方正仿宋_GBK"/>
          <w:b/>
          <w:sz w:val="32"/>
          <w:szCs w:val="32"/>
        </w:rPr>
      </w:pPr>
      <w:bookmarkStart w:id="17" w:name="_Hlk29287346"/>
      <w:r>
        <w:rPr>
          <w:rFonts w:ascii="方正仿宋_GBK" w:eastAsia="方正仿宋_GBK" w:hint="eastAsia"/>
          <w:b/>
          <w:sz w:val="32"/>
          <w:szCs w:val="32"/>
        </w:rPr>
        <w:t>（三）</w:t>
      </w:r>
      <w:r w:rsidR="004E4C1A" w:rsidRPr="004731DD">
        <w:rPr>
          <w:rFonts w:ascii="方正仿宋_GBK" w:eastAsia="方正仿宋_GBK" w:hint="eastAsia"/>
          <w:b/>
          <w:sz w:val="32"/>
          <w:szCs w:val="32"/>
        </w:rPr>
        <w:t>就业行业流向</w:t>
      </w:r>
    </w:p>
    <w:bookmarkEnd w:id="17"/>
    <w:p w:rsidR="004E4C1A" w:rsidRPr="004E4C1A" w:rsidRDefault="004E4C1A" w:rsidP="004E4C1A">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我院201</w:t>
      </w:r>
      <w:r w:rsidRPr="004E4C1A">
        <w:rPr>
          <w:rFonts w:ascii="方正仿宋_GBK" w:eastAsia="方正仿宋_GBK"/>
          <w:sz w:val="32"/>
          <w:szCs w:val="32"/>
        </w:rPr>
        <w:t>9</w:t>
      </w:r>
      <w:r w:rsidRPr="004E4C1A">
        <w:rPr>
          <w:rFonts w:ascii="方正仿宋_GBK" w:eastAsia="方正仿宋_GBK" w:hint="eastAsia"/>
          <w:sz w:val="32"/>
          <w:szCs w:val="32"/>
        </w:rPr>
        <w:t>届毕业生有2023人签约就业（签就业协议就业、签劳动合同就业、应征义务兵）、自由职业135人、13</w:t>
      </w:r>
      <w:r w:rsidRPr="004E4C1A">
        <w:rPr>
          <w:rFonts w:ascii="方正仿宋_GBK" w:eastAsia="方正仿宋_GBK"/>
          <w:sz w:val="32"/>
          <w:szCs w:val="32"/>
        </w:rPr>
        <w:t>3</w:t>
      </w:r>
      <w:r w:rsidRPr="004E4C1A">
        <w:rPr>
          <w:rFonts w:ascii="方正仿宋_GBK" w:eastAsia="方正仿宋_GBK" w:hint="eastAsia"/>
          <w:sz w:val="32"/>
          <w:szCs w:val="32"/>
        </w:rPr>
        <w:t>人升学、27人自主创业、出国出境6人。签约就业毕业生以建筑行业、交通运输和仓储和邮政业、房地产行业为主，到建筑业的毕业生占签约就业总人数的</w:t>
      </w:r>
      <w:r w:rsidRPr="004E4C1A">
        <w:rPr>
          <w:rFonts w:ascii="方正仿宋_GBK" w:eastAsia="方正仿宋_GBK"/>
          <w:sz w:val="32"/>
          <w:szCs w:val="32"/>
        </w:rPr>
        <w:t>50.67</w:t>
      </w:r>
      <w:r w:rsidRPr="004E4C1A">
        <w:rPr>
          <w:rFonts w:ascii="方正仿宋_GBK" w:eastAsia="方正仿宋_GBK" w:hint="eastAsia"/>
          <w:sz w:val="32"/>
          <w:szCs w:val="32"/>
        </w:rPr>
        <w:t>%、交通运输仓储和邮政业的占</w:t>
      </w:r>
      <w:r w:rsidRPr="004E4C1A">
        <w:rPr>
          <w:rFonts w:ascii="方正仿宋_GBK" w:eastAsia="方正仿宋_GBK"/>
          <w:sz w:val="32"/>
          <w:szCs w:val="32"/>
        </w:rPr>
        <w:t>9.64</w:t>
      </w:r>
      <w:r w:rsidRPr="004E4C1A">
        <w:rPr>
          <w:rFonts w:ascii="方正仿宋_GBK" w:eastAsia="方正仿宋_GBK" w:hint="eastAsia"/>
          <w:sz w:val="32"/>
          <w:szCs w:val="32"/>
        </w:rPr>
        <w:t>%，到房地产业的占</w:t>
      </w:r>
      <w:r w:rsidRPr="004E4C1A">
        <w:rPr>
          <w:rFonts w:ascii="方正仿宋_GBK" w:eastAsia="方正仿宋_GBK"/>
          <w:sz w:val="32"/>
          <w:szCs w:val="32"/>
        </w:rPr>
        <w:t>5.88</w:t>
      </w:r>
      <w:r w:rsidRPr="004E4C1A">
        <w:rPr>
          <w:rFonts w:ascii="方正仿宋_GBK" w:eastAsia="方正仿宋_GBK" w:hint="eastAsia"/>
          <w:sz w:val="32"/>
          <w:szCs w:val="32"/>
        </w:rPr>
        <w:t>%，这与我院以建设类专业性质有关。其他诸如信息传输软件和信息服务业、批发零售业、居民服务修理和其他服务业、文化体育和娱乐业、制造业等也占到一定比例。</w:t>
      </w:r>
      <w:bookmarkStart w:id="18" w:name="_Hlk29218880"/>
      <w:r w:rsidRPr="004E4C1A">
        <w:rPr>
          <w:rFonts w:ascii="方正仿宋_GBK" w:eastAsia="方正仿宋_GBK" w:hint="eastAsia"/>
          <w:sz w:val="32"/>
          <w:szCs w:val="32"/>
        </w:rPr>
        <w:t>毕业生就业行业分布</w:t>
      </w:r>
      <w:bookmarkEnd w:id="18"/>
      <w:r w:rsidRPr="004E4C1A">
        <w:rPr>
          <w:rFonts w:ascii="方正仿宋_GBK" w:eastAsia="方正仿宋_GBK" w:hint="eastAsia"/>
          <w:sz w:val="32"/>
          <w:szCs w:val="32"/>
        </w:rPr>
        <w:t>如表2-3所示：</w:t>
      </w:r>
    </w:p>
    <w:p w:rsidR="004E4C1A" w:rsidRPr="00160034" w:rsidRDefault="004E4C1A" w:rsidP="004E4C1A">
      <w:pPr>
        <w:jc w:val="center"/>
        <w:rPr>
          <w:rFonts w:asciiTheme="minorEastAsia" w:eastAsiaTheme="minorEastAsia" w:hAnsiTheme="minorEastAsia"/>
          <w:b/>
          <w:sz w:val="24"/>
          <w:szCs w:val="21"/>
        </w:rPr>
      </w:pPr>
      <w:r w:rsidRPr="00160034">
        <w:rPr>
          <w:rFonts w:asciiTheme="minorEastAsia" w:eastAsiaTheme="minorEastAsia" w:hAnsiTheme="minorEastAsia"/>
          <w:b/>
          <w:sz w:val="24"/>
          <w:szCs w:val="21"/>
        </w:rPr>
        <w:lastRenderedPageBreak/>
        <w:t>2-3：</w:t>
      </w:r>
      <w:r w:rsidRPr="00160034">
        <w:rPr>
          <w:rFonts w:asciiTheme="minorEastAsia" w:eastAsiaTheme="minorEastAsia" w:hAnsiTheme="minorEastAsia" w:hint="eastAsia"/>
          <w:b/>
          <w:sz w:val="24"/>
          <w:szCs w:val="21"/>
        </w:rPr>
        <w:t>毕业生就业行业分布</w:t>
      </w:r>
    </w:p>
    <w:tbl>
      <w:tblPr>
        <w:tblStyle w:val="a5"/>
        <w:tblW w:w="0" w:type="auto"/>
        <w:tblLook w:val="04A0"/>
      </w:tblPr>
      <w:tblGrid>
        <w:gridCol w:w="4248"/>
        <w:gridCol w:w="1843"/>
        <w:gridCol w:w="2126"/>
      </w:tblGrid>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b/>
                <w:bCs/>
                <w:sz w:val="24"/>
              </w:rPr>
            </w:pPr>
            <w:r w:rsidRPr="00F7154E">
              <w:rPr>
                <w:rFonts w:asciiTheme="minorEastAsia" w:eastAsiaTheme="minorEastAsia" w:hAnsiTheme="minorEastAsia" w:hint="eastAsia"/>
                <w:b/>
                <w:bCs/>
                <w:sz w:val="24"/>
              </w:rPr>
              <w:t>单位行业</w:t>
            </w:r>
          </w:p>
        </w:tc>
        <w:tc>
          <w:tcPr>
            <w:tcW w:w="1843" w:type="dxa"/>
            <w:noWrap/>
            <w:hideMark/>
          </w:tcPr>
          <w:p w:rsidR="004E4C1A" w:rsidRPr="00F7154E" w:rsidRDefault="004E4C1A" w:rsidP="00EB0326">
            <w:pPr>
              <w:jc w:val="center"/>
              <w:rPr>
                <w:rFonts w:asciiTheme="minorEastAsia" w:eastAsiaTheme="minorEastAsia" w:hAnsiTheme="minorEastAsia"/>
                <w:b/>
                <w:sz w:val="24"/>
              </w:rPr>
            </w:pPr>
            <w:r w:rsidRPr="00F7154E">
              <w:rPr>
                <w:rFonts w:asciiTheme="minorEastAsia" w:eastAsiaTheme="minorEastAsia" w:hAnsiTheme="minorEastAsia" w:hint="eastAsia"/>
                <w:b/>
                <w:sz w:val="24"/>
              </w:rPr>
              <w:t>人数</w:t>
            </w:r>
          </w:p>
        </w:tc>
        <w:tc>
          <w:tcPr>
            <w:tcW w:w="2126" w:type="dxa"/>
            <w:noWrap/>
            <w:hideMark/>
          </w:tcPr>
          <w:p w:rsidR="004E4C1A" w:rsidRPr="00F7154E" w:rsidRDefault="004E4C1A" w:rsidP="00EB0326">
            <w:pPr>
              <w:jc w:val="center"/>
              <w:rPr>
                <w:rFonts w:asciiTheme="minorEastAsia" w:eastAsiaTheme="minorEastAsia" w:hAnsiTheme="minorEastAsia"/>
                <w:b/>
                <w:sz w:val="24"/>
              </w:rPr>
            </w:pPr>
            <w:r w:rsidRPr="00F7154E">
              <w:rPr>
                <w:rFonts w:asciiTheme="minorEastAsia" w:eastAsiaTheme="minorEastAsia" w:hAnsiTheme="minorEastAsia" w:hint="eastAsia"/>
                <w:b/>
                <w:sz w:val="24"/>
              </w:rPr>
              <w:t>占比</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建筑业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1025</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50.67%</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交通运输、仓储和邮政业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195</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9.64%</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房地产业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119</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5.88%</w:t>
            </w:r>
          </w:p>
        </w:tc>
      </w:tr>
      <w:tr w:rsidR="004E4C1A" w:rsidRPr="00F7154E" w:rsidTr="00F7154E">
        <w:trPr>
          <w:trHeight w:val="270"/>
        </w:trPr>
        <w:tc>
          <w:tcPr>
            <w:tcW w:w="4248" w:type="dxa"/>
            <w:noWrap/>
            <w:hideMark/>
          </w:tcPr>
          <w:p w:rsidR="004E4C1A" w:rsidRPr="00F7154E" w:rsidRDefault="004E4C1A" w:rsidP="00EB0326">
            <w:pPr>
              <w:ind w:leftChars="71" w:left="149"/>
              <w:jc w:val="center"/>
              <w:rPr>
                <w:rFonts w:asciiTheme="minorEastAsia" w:eastAsiaTheme="minorEastAsia" w:hAnsiTheme="minorEastAsia"/>
                <w:sz w:val="24"/>
              </w:rPr>
            </w:pPr>
            <w:r w:rsidRPr="00F7154E">
              <w:rPr>
                <w:rFonts w:asciiTheme="minorEastAsia" w:eastAsiaTheme="minorEastAsia" w:hAnsiTheme="minorEastAsia" w:hint="eastAsia"/>
                <w:sz w:val="24"/>
              </w:rPr>
              <w:t>信息传输、软件和信息技术服务业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114</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5.64%</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批发和零售业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94</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4.65%</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居民服务、修理和其他服务业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83</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4.10%</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文化、体育和娱乐业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64</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3.16%</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制造业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58</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2.87%</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租赁和商务服务业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46</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2.27%</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住宿和餐饮业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42</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2.08%</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水利、环境和公共设施管理业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39</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1.93%</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教育</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38</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1.88%</w:t>
            </w:r>
          </w:p>
        </w:tc>
      </w:tr>
      <w:tr w:rsidR="004E4C1A" w:rsidRPr="00F7154E" w:rsidTr="00F7154E">
        <w:trPr>
          <w:trHeight w:val="270"/>
        </w:trPr>
        <w:tc>
          <w:tcPr>
            <w:tcW w:w="4248" w:type="dxa"/>
            <w:noWrap/>
            <w:hideMark/>
          </w:tcPr>
          <w:p w:rsidR="004E4C1A" w:rsidRPr="00F7154E" w:rsidRDefault="004E4C1A" w:rsidP="00EB0326">
            <w:pPr>
              <w:ind w:leftChars="71" w:left="149"/>
              <w:jc w:val="center"/>
              <w:rPr>
                <w:rFonts w:asciiTheme="minorEastAsia" w:eastAsiaTheme="minorEastAsia" w:hAnsiTheme="minorEastAsia"/>
                <w:sz w:val="24"/>
              </w:rPr>
            </w:pPr>
            <w:r w:rsidRPr="00F7154E">
              <w:rPr>
                <w:rFonts w:asciiTheme="minorEastAsia" w:eastAsiaTheme="minorEastAsia" w:hAnsiTheme="minorEastAsia" w:hint="eastAsia"/>
                <w:sz w:val="24"/>
              </w:rPr>
              <w:t>公共管理、社会保障和社会组织</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36</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1.78%</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金融业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32</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1.58%</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农、林、牧、渔业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26</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1.29%</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科学研究和技术服务业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18</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0.89%</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卫生和社会工作</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13</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0.64%</w:t>
            </w:r>
          </w:p>
        </w:tc>
      </w:tr>
      <w:tr w:rsidR="004E4C1A" w:rsidRPr="00F7154E" w:rsidTr="00F7154E">
        <w:trPr>
          <w:trHeight w:val="270"/>
        </w:trPr>
        <w:tc>
          <w:tcPr>
            <w:tcW w:w="4248"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电力、热力、燃气及水生产和供应业</w:t>
            </w:r>
          </w:p>
        </w:tc>
        <w:tc>
          <w:tcPr>
            <w:tcW w:w="1843"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11</w:t>
            </w:r>
          </w:p>
        </w:tc>
        <w:tc>
          <w:tcPr>
            <w:tcW w:w="2126" w:type="dxa"/>
            <w:noWrap/>
            <w:hideMark/>
          </w:tcPr>
          <w:p w:rsidR="004E4C1A" w:rsidRPr="00F7154E" w:rsidRDefault="004E4C1A" w:rsidP="00EB0326">
            <w:pPr>
              <w:jc w:val="center"/>
              <w:rPr>
                <w:rFonts w:asciiTheme="minorEastAsia" w:eastAsiaTheme="minorEastAsia" w:hAnsiTheme="minorEastAsia"/>
                <w:sz w:val="24"/>
              </w:rPr>
            </w:pPr>
            <w:r w:rsidRPr="00F7154E">
              <w:rPr>
                <w:rFonts w:asciiTheme="minorEastAsia" w:eastAsiaTheme="minorEastAsia" w:hAnsiTheme="minorEastAsia" w:hint="eastAsia"/>
                <w:sz w:val="24"/>
              </w:rPr>
              <w:t>0.54%</w:t>
            </w:r>
          </w:p>
        </w:tc>
      </w:tr>
    </w:tbl>
    <w:p w:rsidR="004E4C1A" w:rsidRPr="004E4C1A" w:rsidRDefault="004E4C1A" w:rsidP="004E4C1A">
      <w:pPr>
        <w:rPr>
          <w:rFonts w:ascii="方正仿宋_GBK" w:eastAsia="方正仿宋_GBK" w:hAnsi="Calibri"/>
          <w:b/>
          <w:sz w:val="24"/>
        </w:rPr>
      </w:pPr>
      <w:r w:rsidRPr="004731DD">
        <w:rPr>
          <w:rFonts w:ascii="方正仿宋_GBK" w:eastAsia="方正仿宋_GBK" w:hint="eastAsia"/>
          <w:b/>
          <w:sz w:val="32"/>
          <w:szCs w:val="32"/>
        </w:rPr>
        <w:t>（四）就业单位性质分布情况</w:t>
      </w:r>
    </w:p>
    <w:p w:rsidR="004E4C1A" w:rsidRPr="004E4C1A" w:rsidRDefault="004E4C1A" w:rsidP="004E4C1A">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201</w:t>
      </w:r>
      <w:r w:rsidRPr="004E4C1A">
        <w:rPr>
          <w:rFonts w:ascii="方正仿宋_GBK" w:eastAsia="方正仿宋_GBK"/>
          <w:sz w:val="32"/>
          <w:szCs w:val="32"/>
        </w:rPr>
        <w:t>9</w:t>
      </w:r>
      <w:r w:rsidRPr="004E4C1A">
        <w:rPr>
          <w:rFonts w:ascii="方正仿宋_GBK" w:eastAsia="方正仿宋_GBK" w:hint="eastAsia"/>
          <w:sz w:val="32"/>
          <w:szCs w:val="32"/>
        </w:rPr>
        <w:t>届毕业生单位性质分布，依次为民营企业（其他企业）、国有企业、升学、自由职业、自主创业、三资企业等。民营企业代表有： 中科建设（集团）有限公司、中航建设（集团）有限公司等；国有企业代表有：中国铁路成都局集团有限公司、重庆轨道交通</w:t>
      </w:r>
      <w:r w:rsidRPr="004E4C1A">
        <w:rPr>
          <w:rFonts w:ascii="方正仿宋_GBK" w:eastAsia="方正仿宋_GBK"/>
          <w:sz w:val="32"/>
          <w:szCs w:val="32"/>
        </w:rPr>
        <w:t>(集团) 有限公司</w:t>
      </w:r>
      <w:r w:rsidRPr="004E4C1A">
        <w:rPr>
          <w:rFonts w:ascii="方正仿宋_GBK" w:eastAsia="方正仿宋_GBK" w:hint="eastAsia"/>
          <w:sz w:val="32"/>
          <w:szCs w:val="32"/>
        </w:rPr>
        <w:t>、中冶建工集团有限公司等。如表2-4所示：</w:t>
      </w:r>
    </w:p>
    <w:p w:rsidR="004E4C1A" w:rsidRPr="00160034" w:rsidRDefault="004E4C1A" w:rsidP="00160034">
      <w:pPr>
        <w:ind w:leftChars="71" w:left="149" w:firstLineChars="150" w:firstLine="361"/>
        <w:jc w:val="center"/>
        <w:rPr>
          <w:rFonts w:asciiTheme="minorEastAsia" w:eastAsiaTheme="minorEastAsia" w:hAnsiTheme="minorEastAsia"/>
          <w:b/>
          <w:sz w:val="24"/>
          <w:szCs w:val="21"/>
        </w:rPr>
      </w:pPr>
      <w:r w:rsidRPr="00160034">
        <w:rPr>
          <w:rFonts w:asciiTheme="minorEastAsia" w:eastAsiaTheme="minorEastAsia" w:hAnsiTheme="minorEastAsia" w:hint="eastAsia"/>
          <w:b/>
          <w:sz w:val="24"/>
          <w:szCs w:val="21"/>
        </w:rPr>
        <w:t>表2-4：就业单位性质分布情况</w:t>
      </w:r>
    </w:p>
    <w:tbl>
      <w:tblPr>
        <w:tblStyle w:val="a5"/>
        <w:tblW w:w="7763" w:type="dxa"/>
        <w:jc w:val="center"/>
        <w:tblLook w:val="04A0"/>
      </w:tblPr>
      <w:tblGrid>
        <w:gridCol w:w="3035"/>
        <w:gridCol w:w="2460"/>
        <w:gridCol w:w="2268"/>
      </w:tblGrid>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b/>
                <w:sz w:val="24"/>
              </w:rPr>
            </w:pPr>
            <w:r w:rsidRPr="002E62B0">
              <w:rPr>
                <w:rFonts w:asciiTheme="minorEastAsia" w:eastAsiaTheme="minorEastAsia" w:hAnsiTheme="minorEastAsia" w:hint="eastAsia"/>
                <w:b/>
                <w:sz w:val="24"/>
              </w:rPr>
              <w:t>单位性质</w:t>
            </w:r>
          </w:p>
        </w:tc>
        <w:tc>
          <w:tcPr>
            <w:tcW w:w="2460" w:type="dxa"/>
            <w:vAlign w:val="center"/>
          </w:tcPr>
          <w:p w:rsidR="004E4C1A" w:rsidRPr="002E62B0" w:rsidRDefault="004E4C1A" w:rsidP="002E62B0">
            <w:pPr>
              <w:jc w:val="center"/>
              <w:rPr>
                <w:rFonts w:asciiTheme="minorEastAsia" w:eastAsiaTheme="minorEastAsia" w:hAnsiTheme="minorEastAsia"/>
                <w:b/>
                <w:sz w:val="24"/>
              </w:rPr>
            </w:pPr>
            <w:r w:rsidRPr="002E62B0">
              <w:rPr>
                <w:rFonts w:asciiTheme="minorEastAsia" w:eastAsiaTheme="minorEastAsia" w:hAnsiTheme="minorEastAsia" w:hint="eastAsia"/>
                <w:b/>
                <w:sz w:val="24"/>
              </w:rPr>
              <w:t>人数</w:t>
            </w:r>
          </w:p>
        </w:tc>
        <w:tc>
          <w:tcPr>
            <w:tcW w:w="2268" w:type="dxa"/>
            <w:vAlign w:val="center"/>
          </w:tcPr>
          <w:p w:rsidR="004E4C1A" w:rsidRPr="002E62B0" w:rsidRDefault="004E4C1A" w:rsidP="002E62B0">
            <w:pPr>
              <w:jc w:val="center"/>
              <w:rPr>
                <w:rFonts w:asciiTheme="minorEastAsia" w:eastAsiaTheme="minorEastAsia" w:hAnsiTheme="minorEastAsia"/>
                <w:b/>
                <w:sz w:val="24"/>
              </w:rPr>
            </w:pPr>
            <w:r w:rsidRPr="002E62B0">
              <w:rPr>
                <w:rFonts w:asciiTheme="minorEastAsia" w:eastAsiaTheme="minorEastAsia" w:hAnsiTheme="minorEastAsia" w:hint="eastAsia"/>
                <w:b/>
                <w:sz w:val="24"/>
              </w:rPr>
              <w:t>比例</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其他企业</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1665</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71.46%</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国有企业</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305</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13.09%</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升学</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13</w:t>
            </w:r>
            <w:r w:rsidRPr="002E62B0">
              <w:rPr>
                <w:rFonts w:asciiTheme="minorEastAsia" w:eastAsiaTheme="minorEastAsia" w:hAnsiTheme="minorEastAsia"/>
                <w:sz w:val="24"/>
              </w:rPr>
              <w:t>3</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5.71%</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自由职业</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1</w:t>
            </w:r>
            <w:r w:rsidRPr="002E62B0">
              <w:rPr>
                <w:rFonts w:asciiTheme="minorEastAsia" w:eastAsiaTheme="minorEastAsia" w:hAnsiTheme="minorEastAsia"/>
                <w:sz w:val="24"/>
              </w:rPr>
              <w:t>36</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5.84%</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自主创业</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27</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1.16%</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三资企业</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10</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0.43%</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机关</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12</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0.52%</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lastRenderedPageBreak/>
              <w:t>部队</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21</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0.90%</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城镇社区</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2</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0.09%</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地方基层项目</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2</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0.09%</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医疗事业单位</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2</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0.09%</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科研设计单位</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1</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0.04%</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中初教育</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5</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0.21%</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艰苦事业单位</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1</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0.04%</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农村建制村</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2</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0.09%</w:t>
            </w:r>
          </w:p>
        </w:tc>
      </w:tr>
      <w:tr w:rsidR="004E4C1A" w:rsidRPr="002E62B0" w:rsidTr="002E62B0">
        <w:trPr>
          <w:trHeight w:val="283"/>
          <w:jc w:val="center"/>
        </w:trPr>
        <w:tc>
          <w:tcPr>
            <w:tcW w:w="3035"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出国出境</w:t>
            </w:r>
          </w:p>
        </w:tc>
        <w:tc>
          <w:tcPr>
            <w:tcW w:w="2460"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sz w:val="24"/>
              </w:rPr>
              <w:t>6</w:t>
            </w:r>
          </w:p>
        </w:tc>
        <w:tc>
          <w:tcPr>
            <w:tcW w:w="2268" w:type="dxa"/>
            <w:vAlign w:val="center"/>
          </w:tcPr>
          <w:p w:rsidR="004E4C1A" w:rsidRPr="002E62B0" w:rsidRDefault="004E4C1A" w:rsidP="002E62B0">
            <w:pPr>
              <w:jc w:val="center"/>
              <w:rPr>
                <w:rFonts w:asciiTheme="minorEastAsia" w:eastAsiaTheme="minorEastAsia" w:hAnsiTheme="minorEastAsia"/>
                <w:sz w:val="24"/>
              </w:rPr>
            </w:pPr>
            <w:r w:rsidRPr="002E62B0">
              <w:rPr>
                <w:rFonts w:asciiTheme="minorEastAsia" w:eastAsiaTheme="minorEastAsia" w:hAnsiTheme="minorEastAsia" w:hint="eastAsia"/>
                <w:sz w:val="24"/>
              </w:rPr>
              <w:t>0.26%</w:t>
            </w:r>
          </w:p>
        </w:tc>
      </w:tr>
    </w:tbl>
    <w:p w:rsidR="004E4C1A" w:rsidRPr="004E4C1A" w:rsidRDefault="004E4C1A" w:rsidP="0098054E">
      <w:pPr>
        <w:spacing w:beforeLines="50" w:afterLines="50"/>
        <w:outlineLvl w:val="1"/>
        <w:rPr>
          <w:rFonts w:ascii="方正楷体简体" w:eastAsia="方正楷体简体" w:hAnsi="Helvetica" w:cs="Helvetica"/>
          <w:b/>
          <w:sz w:val="32"/>
          <w:szCs w:val="32"/>
        </w:rPr>
      </w:pPr>
      <w:bookmarkStart w:id="19" w:name="_Toc29308493"/>
      <w:r w:rsidRPr="004E4C1A">
        <w:rPr>
          <w:rFonts w:ascii="方正楷体简体" w:eastAsia="方正楷体简体" w:hAnsi="Helvetica" w:cs="Helvetica" w:hint="eastAsia"/>
          <w:b/>
          <w:sz w:val="32"/>
          <w:szCs w:val="32"/>
        </w:rPr>
        <w:t>四、未就业情况分析</w:t>
      </w:r>
      <w:bookmarkEnd w:id="19"/>
    </w:p>
    <w:p w:rsidR="00160034" w:rsidRDefault="004E4C1A" w:rsidP="00160034">
      <w:pPr>
        <w:ind w:firstLineChars="200" w:firstLine="640"/>
        <w:jc w:val="left"/>
        <w:rPr>
          <w:rFonts w:ascii="方正仿宋_GBK" w:eastAsia="方正仿宋_GBK"/>
          <w:sz w:val="32"/>
          <w:szCs w:val="32"/>
        </w:rPr>
      </w:pPr>
      <w:r w:rsidRPr="004E4C1A">
        <w:rPr>
          <w:rFonts w:ascii="方正仿宋_GBK" w:eastAsia="方正仿宋_GBK" w:hint="eastAsia"/>
          <w:sz w:val="32"/>
          <w:szCs w:val="32"/>
        </w:rPr>
        <w:t>截止201</w:t>
      </w:r>
      <w:r w:rsidRPr="004E4C1A">
        <w:rPr>
          <w:rFonts w:ascii="方正仿宋_GBK" w:eastAsia="方正仿宋_GBK"/>
          <w:sz w:val="32"/>
          <w:szCs w:val="32"/>
        </w:rPr>
        <w:t>9</w:t>
      </w:r>
      <w:r w:rsidRPr="004E4C1A">
        <w:rPr>
          <w:rFonts w:ascii="方正仿宋_GBK" w:eastAsia="方正仿宋_GBK" w:hint="eastAsia"/>
          <w:sz w:val="32"/>
          <w:szCs w:val="32"/>
        </w:rPr>
        <w:t>年12月30日，学院201</w:t>
      </w:r>
      <w:r w:rsidRPr="004E4C1A">
        <w:rPr>
          <w:rFonts w:ascii="方正仿宋_GBK" w:eastAsia="方正仿宋_GBK"/>
          <w:sz w:val="32"/>
          <w:szCs w:val="32"/>
        </w:rPr>
        <w:t>9</w:t>
      </w:r>
      <w:r w:rsidRPr="004E4C1A">
        <w:rPr>
          <w:rFonts w:ascii="方正仿宋_GBK" w:eastAsia="方正仿宋_GBK" w:hint="eastAsia"/>
          <w:sz w:val="32"/>
          <w:szCs w:val="32"/>
        </w:rPr>
        <w:t>届未就业毕业生共</w:t>
      </w:r>
      <w:r w:rsidRPr="004E4C1A">
        <w:rPr>
          <w:rFonts w:ascii="方正仿宋_GBK" w:eastAsia="方正仿宋_GBK"/>
          <w:sz w:val="32"/>
          <w:szCs w:val="32"/>
        </w:rPr>
        <w:t>77</w:t>
      </w:r>
      <w:r w:rsidRPr="004E4C1A">
        <w:rPr>
          <w:rFonts w:ascii="方正仿宋_GBK" w:eastAsia="方正仿宋_GBK" w:hint="eastAsia"/>
          <w:sz w:val="32"/>
          <w:szCs w:val="32"/>
        </w:rPr>
        <w:t>人；其未就业原因主要为“准备国内公务员或其他考试”</w:t>
      </w:r>
      <w:r w:rsidRPr="004E4C1A">
        <w:rPr>
          <w:rFonts w:ascii="方正仿宋_GBK" w:eastAsia="方正仿宋_GBK"/>
          <w:sz w:val="32"/>
          <w:szCs w:val="32"/>
        </w:rPr>
        <w:t>XX</w:t>
      </w:r>
      <w:r w:rsidRPr="004E4C1A">
        <w:rPr>
          <w:rFonts w:ascii="方正仿宋_GBK" w:eastAsia="方正仿宋_GBK" w:hint="eastAsia"/>
          <w:sz w:val="32"/>
          <w:szCs w:val="32"/>
        </w:rPr>
        <w:t>人，其次是“转换工作中”的同学</w:t>
      </w:r>
      <w:r w:rsidRPr="004E4C1A">
        <w:rPr>
          <w:rFonts w:ascii="方正仿宋_GBK" w:eastAsia="方正仿宋_GBK"/>
          <w:sz w:val="32"/>
          <w:szCs w:val="32"/>
        </w:rPr>
        <w:t>XX</w:t>
      </w:r>
      <w:r w:rsidRPr="004E4C1A">
        <w:rPr>
          <w:rFonts w:ascii="方正仿宋_GBK" w:eastAsia="方正仿宋_GBK" w:hint="eastAsia"/>
          <w:sz w:val="32"/>
          <w:szCs w:val="32"/>
        </w:rPr>
        <w:t>人， “没找到合适工作”X</w:t>
      </w:r>
      <w:r w:rsidRPr="004E4C1A">
        <w:rPr>
          <w:rFonts w:ascii="方正仿宋_GBK" w:eastAsia="方正仿宋_GBK"/>
          <w:sz w:val="32"/>
          <w:szCs w:val="32"/>
        </w:rPr>
        <w:t>X</w:t>
      </w:r>
      <w:r w:rsidRPr="004E4C1A">
        <w:rPr>
          <w:rFonts w:ascii="方正仿宋_GBK" w:eastAsia="方正仿宋_GBK" w:hint="eastAsia"/>
          <w:sz w:val="32"/>
          <w:szCs w:val="32"/>
        </w:rPr>
        <w:t>人，“暂时面临就业困难”的同学</w:t>
      </w:r>
      <w:r w:rsidRPr="004E4C1A">
        <w:rPr>
          <w:rFonts w:ascii="方正仿宋_GBK" w:eastAsia="方正仿宋_GBK"/>
          <w:sz w:val="32"/>
          <w:szCs w:val="32"/>
        </w:rPr>
        <w:t>XX</w:t>
      </w:r>
      <w:r w:rsidRPr="004E4C1A">
        <w:rPr>
          <w:rFonts w:ascii="方正仿宋_GBK" w:eastAsia="方正仿宋_GBK" w:hint="eastAsia"/>
          <w:sz w:val="32"/>
          <w:szCs w:val="32"/>
        </w:rPr>
        <w:t>人。如图2-3所示：</w:t>
      </w:r>
    </w:p>
    <w:p w:rsidR="004E4C1A" w:rsidRPr="00160034" w:rsidRDefault="00160034" w:rsidP="00160034">
      <w:pPr>
        <w:ind w:firstLineChars="200" w:firstLine="482"/>
        <w:jc w:val="center"/>
        <w:rPr>
          <w:rFonts w:asciiTheme="minorEastAsia" w:eastAsiaTheme="minorEastAsia" w:hAnsiTheme="minorEastAsia"/>
          <w:b/>
          <w:sz w:val="24"/>
          <w:szCs w:val="21"/>
        </w:rPr>
      </w:pPr>
      <w:r w:rsidRPr="00160034">
        <w:rPr>
          <w:rFonts w:asciiTheme="minorEastAsia" w:eastAsiaTheme="minorEastAsia" w:hAnsiTheme="minorEastAsia"/>
          <w:b/>
          <w:sz w:val="24"/>
          <w:szCs w:val="21"/>
        </w:rPr>
        <w:t>图2-3：未就业类别</w:t>
      </w:r>
    </w:p>
    <w:p w:rsidR="004E4C1A" w:rsidRPr="004E4C1A" w:rsidRDefault="004E4C1A" w:rsidP="00160034">
      <w:pPr>
        <w:jc w:val="center"/>
        <w:rPr>
          <w:rFonts w:ascii="方正仿宋_GBK" w:eastAsia="方正仿宋_GBK" w:hAnsi="宋体"/>
          <w:sz w:val="24"/>
        </w:rPr>
      </w:pPr>
      <w:r w:rsidRPr="004E4C1A">
        <w:rPr>
          <w:rFonts w:ascii="方正仿宋_GBK" w:eastAsia="方正仿宋_GBK" w:hAnsi="宋体" w:hint="eastAsia"/>
          <w:noProof/>
          <w:sz w:val="24"/>
        </w:rPr>
        <w:drawing>
          <wp:inline distT="0" distB="0" distL="0" distR="0">
            <wp:extent cx="5274310" cy="3076575"/>
            <wp:effectExtent l="0" t="0" r="25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20E9" w:rsidRDefault="004F20E9" w:rsidP="0098054E">
      <w:pPr>
        <w:spacing w:beforeLines="50" w:afterLines="50"/>
        <w:jc w:val="center"/>
        <w:rPr>
          <w:rFonts w:ascii="方正黑体_GBK" w:eastAsia="方正黑体_GBK"/>
          <w:sz w:val="32"/>
          <w:szCs w:val="32"/>
        </w:rPr>
      </w:pPr>
    </w:p>
    <w:p w:rsidR="00342764" w:rsidRPr="004E4C1A" w:rsidRDefault="00342764" w:rsidP="0098054E">
      <w:pPr>
        <w:spacing w:beforeLines="50" w:afterLines="50"/>
        <w:jc w:val="center"/>
        <w:outlineLvl w:val="0"/>
        <w:rPr>
          <w:rFonts w:ascii="方正黑体_GBK" w:eastAsia="方正黑体_GBK"/>
          <w:sz w:val="32"/>
          <w:szCs w:val="32"/>
        </w:rPr>
      </w:pPr>
      <w:bookmarkStart w:id="20" w:name="_Toc29308494"/>
      <w:r w:rsidRPr="004E4C1A">
        <w:rPr>
          <w:rFonts w:ascii="方正黑体_GBK" w:eastAsia="方正黑体_GBK" w:hint="eastAsia"/>
          <w:sz w:val="32"/>
          <w:szCs w:val="32"/>
        </w:rPr>
        <w:t>第</w:t>
      </w:r>
      <w:r>
        <w:rPr>
          <w:rFonts w:ascii="方正黑体_GBK" w:eastAsia="方正黑体_GBK" w:hint="eastAsia"/>
          <w:sz w:val="32"/>
          <w:szCs w:val="32"/>
        </w:rPr>
        <w:t>三</w:t>
      </w:r>
      <w:r w:rsidRPr="004E4C1A">
        <w:rPr>
          <w:rFonts w:ascii="方正黑体_GBK" w:eastAsia="方正黑体_GBK" w:hint="eastAsia"/>
          <w:sz w:val="32"/>
          <w:szCs w:val="32"/>
        </w:rPr>
        <w:t>部分</w:t>
      </w:r>
      <w:r>
        <w:rPr>
          <w:rFonts w:ascii="方正黑体_GBK" w:eastAsia="方正黑体_GBK" w:hint="eastAsia"/>
          <w:sz w:val="32"/>
          <w:szCs w:val="32"/>
        </w:rPr>
        <w:t xml:space="preserve"> </w:t>
      </w:r>
      <w:r w:rsidRPr="00342764">
        <w:rPr>
          <w:rFonts w:ascii="方正黑体_GBK" w:eastAsia="方正黑体_GBK" w:hint="eastAsia"/>
          <w:sz w:val="32"/>
          <w:szCs w:val="32"/>
        </w:rPr>
        <w:t>学院就业工作开展情况</w:t>
      </w:r>
      <w:bookmarkEnd w:id="20"/>
    </w:p>
    <w:p w:rsidR="00342764" w:rsidRPr="00342764" w:rsidRDefault="00342764" w:rsidP="00342764">
      <w:pPr>
        <w:tabs>
          <w:tab w:val="left" w:pos="3405"/>
        </w:tabs>
        <w:ind w:firstLineChars="200" w:firstLine="640"/>
        <w:rPr>
          <w:rFonts w:ascii="方正仿宋_GBK" w:eastAsia="方正仿宋_GBK" w:hAnsi="仿宋" w:cs="仿宋"/>
          <w:b/>
          <w:bCs/>
          <w:sz w:val="32"/>
          <w:szCs w:val="32"/>
        </w:rPr>
      </w:pPr>
      <w:r w:rsidRPr="00342764">
        <w:rPr>
          <w:rFonts w:ascii="方正仿宋_GBK" w:eastAsia="方正仿宋_GBK" w:hAnsi="仿宋" w:cs="仿宋" w:hint="eastAsia"/>
          <w:sz w:val="32"/>
          <w:szCs w:val="32"/>
        </w:rPr>
        <w:lastRenderedPageBreak/>
        <w:t>学院高度重视毕业生就业工作，将就业工作作为人才培养的重要环节纳入学院教育质量提升工程，强化思想共识，整合有效资源，打造工作品牌，构建长效机制，完善工作体系，有效提升就业指导服务工作的专业化水平，举全院之力促进毕业生高质量、充分就业。</w:t>
      </w:r>
    </w:p>
    <w:p w:rsidR="00342764" w:rsidRPr="00342764" w:rsidRDefault="00342764" w:rsidP="0098054E">
      <w:pPr>
        <w:spacing w:beforeLines="50" w:afterLines="50"/>
        <w:outlineLvl w:val="1"/>
        <w:rPr>
          <w:rFonts w:ascii="方正楷体简体" w:eastAsia="方正楷体简体" w:hAnsi="Helvetica" w:cs="Helvetica"/>
          <w:b/>
          <w:sz w:val="32"/>
          <w:szCs w:val="32"/>
        </w:rPr>
      </w:pPr>
      <w:bookmarkStart w:id="21" w:name="_Toc500535113"/>
      <w:bookmarkStart w:id="22" w:name="_Toc500539863"/>
      <w:bookmarkStart w:id="23" w:name="_Toc500539676"/>
      <w:bookmarkStart w:id="24" w:name="_Toc32394"/>
      <w:bookmarkStart w:id="25" w:name="_Toc29308495"/>
      <w:r w:rsidRPr="00342764">
        <w:rPr>
          <w:rFonts w:ascii="方正楷体简体" w:eastAsia="方正楷体简体" w:hAnsi="Helvetica" w:cs="Helvetica" w:hint="eastAsia"/>
          <w:b/>
          <w:sz w:val="32"/>
          <w:szCs w:val="32"/>
        </w:rPr>
        <w:t>一、加强组织领导，全面落实一把手工程</w:t>
      </w:r>
      <w:bookmarkEnd w:id="21"/>
      <w:bookmarkEnd w:id="22"/>
      <w:bookmarkEnd w:id="23"/>
      <w:bookmarkEnd w:id="24"/>
      <w:bookmarkEnd w:id="25"/>
    </w:p>
    <w:p w:rsidR="00342764" w:rsidRPr="00342764" w:rsidRDefault="00342764" w:rsidP="00342764">
      <w:pPr>
        <w:ind w:firstLineChars="200" w:firstLine="640"/>
        <w:rPr>
          <w:rFonts w:ascii="方正仿宋_GBK" w:eastAsia="方正仿宋_GBK" w:hAnsi="仿宋" w:cs="仿宋"/>
          <w:sz w:val="32"/>
          <w:szCs w:val="32"/>
        </w:rPr>
      </w:pPr>
      <w:r w:rsidRPr="00342764">
        <w:rPr>
          <w:rFonts w:ascii="方正仿宋_GBK" w:eastAsia="方正仿宋_GBK" w:hAnsi="仿宋" w:cs="仿宋" w:hint="eastAsia"/>
          <w:sz w:val="32"/>
          <w:szCs w:val="32"/>
        </w:rPr>
        <w:t xml:space="preserve">按照国家教育部、重庆市教委及就业指导中心的相关要求，切实加强组织领导，全面落实一把手工程，保障机构、人员、场地、经费四到位，在全院范围内形成“院长主抓、招就处统筹、系部落实、全院参与”的工作机制。学院成立2019届毕业生就业工作领导小组，全面负责学院就业工作的组织和管理，由院长任组长。领导小组下设办公室和就业创业与校企合作工作小组，办公室主任由招生就业处处长担任，就业创业与校企合作工作小组成员由各总支书记、系主任、支部书记、系办公室主任、2019届毕业班辅导员、招生就业处工作人员组成。领导小组多次召开会议听取关于毕业生就业工作进展情况的汇报，及时协调解决就业工作中的困难和问题。 </w:t>
      </w:r>
      <w:bookmarkStart w:id="26" w:name="_Toc470876433"/>
    </w:p>
    <w:p w:rsidR="00342764" w:rsidRPr="00237D5C" w:rsidRDefault="008E7370" w:rsidP="0098054E">
      <w:pPr>
        <w:spacing w:beforeLines="50" w:afterLines="50"/>
        <w:outlineLvl w:val="1"/>
        <w:rPr>
          <w:rFonts w:ascii="方正楷体简体" w:eastAsia="方正楷体简体" w:hAnsi="Helvetica" w:cs="Helvetica"/>
          <w:b/>
          <w:sz w:val="32"/>
          <w:szCs w:val="32"/>
        </w:rPr>
      </w:pPr>
      <w:bookmarkStart w:id="27" w:name="_Toc500539677"/>
      <w:bookmarkStart w:id="28" w:name="_Toc500535114"/>
      <w:bookmarkStart w:id="29" w:name="_Toc500539864"/>
      <w:bookmarkStart w:id="30" w:name="_Toc22833"/>
      <w:bookmarkStart w:id="31" w:name="_Toc29308496"/>
      <w:r>
        <w:rPr>
          <w:rFonts w:ascii="方正楷体简体" w:eastAsia="方正楷体简体" w:hAnsi="Helvetica" w:cs="Helvetica" w:hint="eastAsia"/>
          <w:b/>
          <w:sz w:val="32"/>
          <w:szCs w:val="32"/>
        </w:rPr>
        <w:t>二、</w:t>
      </w:r>
      <w:r w:rsidR="00342764" w:rsidRPr="00342764">
        <w:rPr>
          <w:rFonts w:ascii="方正楷体简体" w:eastAsia="方正楷体简体" w:hAnsi="Helvetica" w:cs="Helvetica" w:hint="eastAsia"/>
          <w:b/>
          <w:sz w:val="32"/>
          <w:szCs w:val="32"/>
        </w:rPr>
        <w:t>注重就业宣传，拓展就业空间</w:t>
      </w:r>
      <w:bookmarkEnd w:id="26"/>
      <w:bookmarkEnd w:id="27"/>
      <w:bookmarkEnd w:id="28"/>
      <w:bookmarkEnd w:id="29"/>
      <w:bookmarkEnd w:id="30"/>
      <w:bookmarkEnd w:id="31"/>
    </w:p>
    <w:p w:rsidR="00342764" w:rsidRPr="00342764" w:rsidRDefault="00342764" w:rsidP="00342764">
      <w:pPr>
        <w:ind w:firstLineChars="200" w:firstLine="640"/>
        <w:rPr>
          <w:rFonts w:ascii="方正仿宋_GBK" w:eastAsia="方正仿宋_GBK" w:hAnsi="仿宋" w:cs="仿宋"/>
          <w:sz w:val="32"/>
          <w:szCs w:val="32"/>
        </w:rPr>
      </w:pPr>
      <w:r w:rsidRPr="00342764">
        <w:rPr>
          <w:rFonts w:ascii="方正仿宋_GBK" w:eastAsia="方正仿宋_GBK" w:hAnsi="仿宋" w:cs="仿宋" w:hint="eastAsia"/>
          <w:sz w:val="32"/>
          <w:szCs w:val="32"/>
        </w:rPr>
        <w:t>学院注重就业政策宣传，让毕业生了解国家、地方在解决高校毕业生就业方面出台的优惠政策；丰富就业信息发布</w:t>
      </w:r>
      <w:r w:rsidRPr="00342764">
        <w:rPr>
          <w:rFonts w:ascii="方正仿宋_GBK" w:eastAsia="方正仿宋_GBK" w:hAnsi="仿宋" w:cs="仿宋" w:hint="eastAsia"/>
          <w:sz w:val="32"/>
          <w:szCs w:val="32"/>
        </w:rPr>
        <w:lastRenderedPageBreak/>
        <w:t>形式，通过校园就业网、就业信息群、微信平台、QQ群、电话通知、宣传栏等，向毕业生提供企业招聘信息1000余条，6000余个就业岗位。发布招聘信息总岗位数与毕业生人数的比例达2.5个/生，做到了就业信息及时有效的传递。学院发挥建筑行业院校优势，通过“优质服务”工程积极畅通人才输送渠道，邀请国企、行业骨干企业和国内外知名企业到校招聘，举办各专业小型化、专场化供需见面会。鼓励毕业生面向基层就业、自主创业、应征入伍或专升本，为毕业生就业提供广阔的空间。</w:t>
      </w:r>
      <w:bookmarkStart w:id="32" w:name="_Toc470876434"/>
    </w:p>
    <w:p w:rsidR="00342764" w:rsidRPr="00342764" w:rsidRDefault="008E7370" w:rsidP="0098054E">
      <w:pPr>
        <w:spacing w:beforeLines="50" w:afterLines="50"/>
        <w:outlineLvl w:val="1"/>
        <w:rPr>
          <w:rFonts w:ascii="方正楷体简体" w:eastAsia="方正楷体简体" w:hAnsi="Helvetica" w:cs="Helvetica"/>
          <w:b/>
          <w:sz w:val="32"/>
          <w:szCs w:val="32"/>
        </w:rPr>
      </w:pPr>
      <w:bookmarkStart w:id="33" w:name="_Toc500539865"/>
      <w:bookmarkStart w:id="34" w:name="_Toc500535115"/>
      <w:bookmarkStart w:id="35" w:name="_Toc500539678"/>
      <w:bookmarkStart w:id="36" w:name="_Toc20956"/>
      <w:bookmarkStart w:id="37" w:name="_Toc29308497"/>
      <w:r>
        <w:rPr>
          <w:rFonts w:ascii="方正楷体简体" w:eastAsia="方正楷体简体" w:hAnsi="Helvetica" w:cs="Helvetica" w:hint="eastAsia"/>
          <w:b/>
          <w:sz w:val="32"/>
          <w:szCs w:val="32"/>
        </w:rPr>
        <w:t>三、</w:t>
      </w:r>
      <w:r w:rsidR="00342764" w:rsidRPr="00342764">
        <w:rPr>
          <w:rFonts w:ascii="方正楷体简体" w:eastAsia="方正楷体简体" w:hAnsi="Helvetica" w:cs="Helvetica" w:hint="eastAsia"/>
          <w:b/>
          <w:sz w:val="32"/>
          <w:szCs w:val="32"/>
        </w:rPr>
        <w:t>挖掘就业市场，合力推进就业工作</w:t>
      </w:r>
      <w:bookmarkEnd w:id="32"/>
      <w:bookmarkEnd w:id="33"/>
      <w:bookmarkEnd w:id="34"/>
      <w:bookmarkEnd w:id="35"/>
      <w:bookmarkEnd w:id="36"/>
      <w:bookmarkEnd w:id="37"/>
    </w:p>
    <w:p w:rsidR="00342764" w:rsidRPr="00342764" w:rsidRDefault="00342764" w:rsidP="00342764">
      <w:pPr>
        <w:ind w:firstLineChars="200" w:firstLine="640"/>
        <w:rPr>
          <w:rFonts w:ascii="方正仿宋_GBK" w:eastAsia="方正仿宋_GBK" w:hAnsi="仿宋" w:cs="仿宋"/>
          <w:sz w:val="32"/>
          <w:szCs w:val="32"/>
        </w:rPr>
      </w:pPr>
      <w:r w:rsidRPr="00342764">
        <w:rPr>
          <w:rFonts w:ascii="方正仿宋_GBK" w:eastAsia="方正仿宋_GBK" w:hAnsi="仿宋" w:cs="仿宋" w:hint="eastAsia"/>
          <w:sz w:val="32"/>
          <w:szCs w:val="32"/>
        </w:rPr>
        <w:t>在学院毕业生就业工作领导小组的领导下，招就处、教务处、实训中心、各教学系积极开拓校内外实习场地，充分挖掘校友资源为学院建设添砖加瓦，积极与用人单位联系，为毕业生提供更多的就业岗位。各教学系作为开拓就业市场、推进就业工作的主体，组建了专门的毕业生就业工作小组，根据学院安排和本系的专业特点，制定了切实可行的就业工作措施，建立广泛的人才供需体系。</w:t>
      </w:r>
      <w:bookmarkStart w:id="38" w:name="_Toc470876435"/>
    </w:p>
    <w:p w:rsidR="00342764" w:rsidRPr="00342764" w:rsidRDefault="008E7370" w:rsidP="0098054E">
      <w:pPr>
        <w:spacing w:beforeLines="50" w:afterLines="50"/>
        <w:outlineLvl w:val="1"/>
        <w:rPr>
          <w:rFonts w:ascii="方正楷体简体" w:eastAsia="方正楷体简体" w:hAnsi="Helvetica" w:cs="Helvetica"/>
          <w:b/>
          <w:sz w:val="32"/>
          <w:szCs w:val="32"/>
        </w:rPr>
      </w:pPr>
      <w:bookmarkStart w:id="39" w:name="_Toc500535116"/>
      <w:bookmarkStart w:id="40" w:name="_Toc500539679"/>
      <w:bookmarkStart w:id="41" w:name="_Toc500539866"/>
      <w:bookmarkStart w:id="42" w:name="_Toc1256"/>
      <w:bookmarkStart w:id="43" w:name="_Toc29308498"/>
      <w:r>
        <w:rPr>
          <w:rFonts w:ascii="方正楷体简体" w:eastAsia="方正楷体简体" w:hAnsi="Helvetica" w:cs="Helvetica" w:hint="eastAsia"/>
          <w:b/>
          <w:sz w:val="32"/>
          <w:szCs w:val="32"/>
        </w:rPr>
        <w:t>四、</w:t>
      </w:r>
      <w:r w:rsidR="00342764" w:rsidRPr="00342764">
        <w:rPr>
          <w:rFonts w:ascii="方正楷体简体" w:eastAsia="方正楷体简体" w:hAnsi="Helvetica" w:cs="Helvetica" w:hint="eastAsia"/>
          <w:b/>
          <w:sz w:val="32"/>
          <w:szCs w:val="32"/>
        </w:rPr>
        <w:t>提高优质就业率，稳步提升就业质量</w:t>
      </w:r>
      <w:bookmarkEnd w:id="38"/>
      <w:bookmarkEnd w:id="39"/>
      <w:bookmarkEnd w:id="40"/>
      <w:bookmarkEnd w:id="41"/>
      <w:bookmarkEnd w:id="42"/>
      <w:bookmarkEnd w:id="43"/>
    </w:p>
    <w:p w:rsidR="00342764" w:rsidRPr="00342764" w:rsidRDefault="00342764" w:rsidP="00342764">
      <w:pPr>
        <w:ind w:firstLineChars="200" w:firstLine="640"/>
        <w:rPr>
          <w:rFonts w:ascii="方正仿宋_GBK" w:eastAsia="方正仿宋_GBK" w:hAnsi="仿宋" w:cs="仿宋"/>
          <w:color w:val="000000"/>
          <w:sz w:val="32"/>
          <w:szCs w:val="32"/>
        </w:rPr>
      </w:pPr>
      <w:r w:rsidRPr="00342764">
        <w:rPr>
          <w:rFonts w:ascii="方正仿宋_GBK" w:eastAsia="方正仿宋_GBK" w:hAnsi="仿宋" w:cs="仿宋" w:hint="eastAsia"/>
          <w:sz w:val="32"/>
          <w:szCs w:val="32"/>
        </w:rPr>
        <w:t>学院牵头成立了“重庆市智能建造职业教育集团”，</w:t>
      </w:r>
      <w:r w:rsidRPr="00342764">
        <w:rPr>
          <w:rFonts w:ascii="方正仿宋_GBK" w:eastAsia="方正仿宋_GBK" w:hint="eastAsia"/>
          <w:sz w:val="32"/>
          <w:szCs w:val="32"/>
        </w:rPr>
        <w:t xml:space="preserve"> </w:t>
      </w:r>
      <w:r w:rsidRPr="00342764">
        <w:rPr>
          <w:rFonts w:ascii="方正仿宋_GBK" w:eastAsia="方正仿宋_GBK" w:hAnsi="仿宋" w:cs="仿宋" w:hint="eastAsia"/>
          <w:sz w:val="32"/>
          <w:szCs w:val="32"/>
        </w:rPr>
        <w:t>联合35家企业、18家兄弟院校和7个行业协会。重庆赛迪咨询有限公司、</w:t>
      </w:r>
      <w:r w:rsidRPr="00342764">
        <w:rPr>
          <w:rFonts w:ascii="方正仿宋_GBK" w:eastAsia="方正仿宋_GBK" w:hAnsi="仿宋" w:cs="仿宋" w:hint="eastAsia"/>
          <w:color w:val="000000"/>
          <w:sz w:val="32"/>
          <w:szCs w:val="32"/>
        </w:rPr>
        <w:t>重庆中科建设集团、重庆市轨道交通集团、广</w:t>
      </w:r>
      <w:r w:rsidRPr="00342764">
        <w:rPr>
          <w:rFonts w:ascii="方正仿宋_GBK" w:eastAsia="方正仿宋_GBK" w:hAnsi="仿宋" w:cs="仿宋" w:hint="eastAsia"/>
          <w:color w:val="000000"/>
          <w:sz w:val="32"/>
          <w:szCs w:val="32"/>
        </w:rPr>
        <w:lastRenderedPageBreak/>
        <w:t>联达科技股份有限公司等知名企业挂牌“重庆建筑工程职业学院实习就业基地”，实现专业全覆盖。学院与</w:t>
      </w:r>
      <w:r w:rsidRPr="00342764">
        <w:rPr>
          <w:rFonts w:ascii="方正仿宋_GBK" w:eastAsia="方正仿宋_GBK" w:hAnsi="仿宋" w:cs="仿宋" w:hint="eastAsia"/>
          <w:sz w:val="32"/>
          <w:szCs w:val="32"/>
        </w:rPr>
        <w:t>重庆赛迪咨询有限公司、</w:t>
      </w:r>
      <w:r w:rsidRPr="00342764">
        <w:rPr>
          <w:rFonts w:ascii="方正仿宋_GBK" w:eastAsia="方正仿宋_GBK" w:hAnsi="仿宋" w:cs="仿宋" w:hint="eastAsia"/>
          <w:color w:val="000000"/>
          <w:sz w:val="32"/>
          <w:szCs w:val="32"/>
        </w:rPr>
        <w:t>重庆中科建设集团、重庆诚业建筑工程有限公司、重庆永渝检测公司等签订“订单班”、“冠名班”</w:t>
      </w:r>
      <w:r w:rsidRPr="00342764">
        <w:rPr>
          <w:rFonts w:ascii="方正仿宋_GBK" w:eastAsia="方正仿宋_GBK" w:hAnsi="仿宋" w:cs="仿宋" w:hint="eastAsia"/>
          <w:sz w:val="32"/>
          <w:szCs w:val="32"/>
        </w:rPr>
        <w:t>及定向培养协议，</w:t>
      </w:r>
      <w:r w:rsidRPr="00342764">
        <w:rPr>
          <w:rFonts w:ascii="方正仿宋_GBK" w:eastAsia="方正仿宋_GBK" w:hAnsi="仿宋" w:cs="仿宋" w:hint="eastAsia"/>
          <w:color w:val="000000"/>
          <w:sz w:val="32"/>
          <w:szCs w:val="32"/>
        </w:rPr>
        <w:t>为广大毕业生提供更多的优质就业岗位，稳步提升学院毕业生优质就业率和就业质量，为社会培养出质量过硬用人单位满意的毕业生。</w:t>
      </w:r>
      <w:bookmarkStart w:id="44" w:name="_Toc470876436"/>
    </w:p>
    <w:p w:rsidR="00342764" w:rsidRPr="00342764" w:rsidRDefault="008E7370" w:rsidP="0098054E">
      <w:pPr>
        <w:spacing w:beforeLines="50" w:afterLines="50"/>
        <w:outlineLvl w:val="1"/>
        <w:rPr>
          <w:rFonts w:ascii="方正楷体简体" w:eastAsia="方正楷体简体" w:hAnsi="Helvetica" w:cs="Helvetica"/>
          <w:b/>
          <w:sz w:val="32"/>
          <w:szCs w:val="32"/>
        </w:rPr>
      </w:pPr>
      <w:bookmarkStart w:id="45" w:name="_Toc500535117"/>
      <w:bookmarkStart w:id="46" w:name="_Toc500539680"/>
      <w:bookmarkStart w:id="47" w:name="_Toc500539867"/>
      <w:bookmarkStart w:id="48" w:name="_Toc12236"/>
      <w:bookmarkStart w:id="49" w:name="_Toc29308499"/>
      <w:r>
        <w:rPr>
          <w:rFonts w:ascii="方正楷体简体" w:eastAsia="方正楷体简体" w:hAnsi="Helvetica" w:cs="Helvetica" w:hint="eastAsia"/>
          <w:b/>
          <w:sz w:val="32"/>
          <w:szCs w:val="32"/>
        </w:rPr>
        <w:t>五、</w:t>
      </w:r>
      <w:r w:rsidR="00342764" w:rsidRPr="00342764">
        <w:rPr>
          <w:rFonts w:ascii="方正楷体简体" w:eastAsia="方正楷体简体" w:hAnsi="Helvetica" w:cs="Helvetica" w:hint="eastAsia"/>
          <w:b/>
          <w:sz w:val="32"/>
          <w:szCs w:val="32"/>
        </w:rPr>
        <w:t>重视就业指导，强化</w:t>
      </w:r>
      <w:bookmarkEnd w:id="44"/>
      <w:bookmarkEnd w:id="45"/>
      <w:bookmarkEnd w:id="46"/>
      <w:bookmarkEnd w:id="47"/>
      <w:bookmarkEnd w:id="48"/>
      <w:r w:rsidR="00342764" w:rsidRPr="00342764">
        <w:rPr>
          <w:rFonts w:ascii="方正楷体简体" w:eastAsia="方正楷体简体" w:hAnsi="Helvetica" w:cs="Helvetica" w:hint="eastAsia"/>
          <w:b/>
          <w:sz w:val="32"/>
          <w:szCs w:val="32"/>
        </w:rPr>
        <w:t>就业服务</w:t>
      </w:r>
      <w:bookmarkEnd w:id="49"/>
    </w:p>
    <w:p w:rsidR="00342764" w:rsidRPr="00342764" w:rsidRDefault="00342764" w:rsidP="00342764">
      <w:pPr>
        <w:ind w:firstLineChars="200" w:firstLine="640"/>
        <w:rPr>
          <w:rFonts w:ascii="方正仿宋_GBK" w:eastAsia="方正仿宋_GBK" w:hAnsi="仿宋" w:cs="仿宋"/>
          <w:color w:val="000000"/>
          <w:sz w:val="32"/>
          <w:szCs w:val="32"/>
        </w:rPr>
      </w:pPr>
      <w:bookmarkStart w:id="50" w:name="_Toc470876437"/>
      <w:bookmarkStart w:id="51" w:name="_Toc500535118"/>
      <w:bookmarkStart w:id="52" w:name="_Toc500539681"/>
      <w:bookmarkStart w:id="53" w:name="_Toc500539868"/>
      <w:bookmarkStart w:id="54" w:name="_Toc20854"/>
      <w:r w:rsidRPr="00342764">
        <w:rPr>
          <w:rFonts w:ascii="方正仿宋_GBK" w:eastAsia="方正仿宋_GBK" w:hAnsi="仿宋" w:cs="仿宋" w:hint="eastAsia"/>
          <w:color w:val="000000"/>
          <w:sz w:val="32"/>
          <w:szCs w:val="32"/>
        </w:rPr>
        <w:t>针对院、系两极就业工作人员开展专题宣讲培训，特别对教育部“三严禁”“四不准”的相关规定进行认真学习、严格要求。开展就业创业指导讲座多场，组织学生认真学习就业创业政策，提高学生法律意识和维权意识。开展GYB培训6期，深化学生创业意识，提升创业能力。全年培训共计千余人次。坚持示范引领，引导毕业生面向经济社会发展需求，到基层一线、到部队、到祖国最需要的地方施展才华、成长成才。2019年，在重庆市教委开展的大学生就业创业优秀人物遴选活动中，经学校推荐，市教委评审和网上公示，学校</w:t>
      </w:r>
      <w:r w:rsidR="008B4D14" w:rsidRPr="008B4D14">
        <w:rPr>
          <w:rFonts w:ascii="方正仿宋_GBK" w:eastAsia="方正仿宋_GBK" w:hAnsi="仿宋" w:cs="仿宋" w:hint="eastAsia"/>
          <w:color w:val="000000"/>
          <w:sz w:val="32"/>
          <w:szCs w:val="32"/>
        </w:rPr>
        <w:t>轨道与机电工程系城市轨道交通运营管理专业</w:t>
      </w:r>
      <w:r w:rsidRPr="00342764">
        <w:rPr>
          <w:rFonts w:ascii="方正仿宋_GBK" w:eastAsia="方正仿宋_GBK" w:hAnsi="仿宋" w:cs="仿宋" w:hint="eastAsia"/>
          <w:color w:val="000000"/>
          <w:sz w:val="32"/>
          <w:szCs w:val="32"/>
        </w:rPr>
        <w:t>毕业生李鑫获评“重庆市大学生就业创业优秀人物——优秀军营大学生战士”称号。</w:t>
      </w:r>
    </w:p>
    <w:p w:rsidR="00342764" w:rsidRPr="00342764" w:rsidRDefault="008E7370" w:rsidP="0098054E">
      <w:pPr>
        <w:spacing w:beforeLines="50" w:afterLines="50"/>
        <w:outlineLvl w:val="1"/>
        <w:rPr>
          <w:rFonts w:ascii="方正楷体简体" w:eastAsia="方正楷体简体" w:hAnsi="Helvetica" w:cs="Helvetica"/>
          <w:b/>
          <w:sz w:val="32"/>
          <w:szCs w:val="32"/>
        </w:rPr>
      </w:pPr>
      <w:bookmarkStart w:id="55" w:name="_Toc29308500"/>
      <w:r>
        <w:rPr>
          <w:rFonts w:ascii="方正楷体简体" w:eastAsia="方正楷体简体" w:hAnsi="Helvetica" w:cs="Helvetica" w:hint="eastAsia"/>
          <w:b/>
          <w:sz w:val="32"/>
          <w:szCs w:val="32"/>
        </w:rPr>
        <w:t>六、</w:t>
      </w:r>
      <w:r w:rsidR="00342764" w:rsidRPr="00342764">
        <w:rPr>
          <w:rFonts w:ascii="方正楷体简体" w:eastAsia="方正楷体简体" w:hAnsi="Helvetica" w:cs="Helvetica" w:hint="eastAsia"/>
          <w:b/>
          <w:sz w:val="32"/>
          <w:szCs w:val="32"/>
        </w:rPr>
        <w:t>关注困难群体，做好就业帮扶工作</w:t>
      </w:r>
      <w:bookmarkEnd w:id="50"/>
      <w:bookmarkEnd w:id="51"/>
      <w:bookmarkEnd w:id="52"/>
      <w:bookmarkEnd w:id="53"/>
      <w:bookmarkEnd w:id="54"/>
      <w:bookmarkEnd w:id="55"/>
    </w:p>
    <w:p w:rsidR="00342764" w:rsidRPr="00342764" w:rsidRDefault="00342764" w:rsidP="00342764">
      <w:pPr>
        <w:ind w:firstLineChars="200" w:firstLine="640"/>
        <w:rPr>
          <w:rFonts w:ascii="方正仿宋_GBK" w:eastAsia="方正仿宋_GBK" w:hAnsi="仿宋" w:cs="仿宋"/>
          <w:sz w:val="32"/>
          <w:szCs w:val="32"/>
        </w:rPr>
      </w:pPr>
      <w:r w:rsidRPr="00342764">
        <w:rPr>
          <w:rFonts w:ascii="方正仿宋_GBK" w:eastAsia="方正仿宋_GBK" w:hAnsi="仿宋" w:cs="仿宋" w:hint="eastAsia"/>
          <w:sz w:val="32"/>
          <w:szCs w:val="32"/>
        </w:rPr>
        <w:lastRenderedPageBreak/>
        <w:t>要求毕业班辅导员全面掌握毕业生个人情况和家庭情况，摸清家庭困难毕业生、残疾毕业生、学习成绩优异、学生干部、各类竞赛获奖学生、少数民族毕业生底数，建立帮扶台账，落实“一对一”帮扶制度，重点帮助家庭困难、就业困难毕业生求职就业，让他们能就业，就好业。</w:t>
      </w:r>
      <w:bookmarkStart w:id="56" w:name="_Toc470876438"/>
      <w:r w:rsidRPr="00342764">
        <w:rPr>
          <w:rFonts w:ascii="方正仿宋_GBK" w:eastAsia="方正仿宋_GBK" w:hAnsi="仿宋" w:cs="仿宋" w:hint="eastAsia"/>
          <w:sz w:val="32"/>
          <w:szCs w:val="32"/>
        </w:rPr>
        <w:t>2019届毕业生中生源地为重庆18个深度贫困乡镇毕业生初次就业率为100%。</w:t>
      </w:r>
    </w:p>
    <w:p w:rsidR="00342764" w:rsidRPr="00342764" w:rsidRDefault="008E7370" w:rsidP="0098054E">
      <w:pPr>
        <w:spacing w:beforeLines="50" w:afterLines="50"/>
        <w:outlineLvl w:val="1"/>
        <w:rPr>
          <w:rFonts w:ascii="方正楷体简体" w:eastAsia="方正楷体简体" w:hAnsi="Helvetica" w:cs="Helvetica"/>
          <w:b/>
          <w:sz w:val="32"/>
          <w:szCs w:val="32"/>
        </w:rPr>
      </w:pPr>
      <w:bookmarkStart w:id="57" w:name="_Toc500535119"/>
      <w:bookmarkStart w:id="58" w:name="_Toc500539682"/>
      <w:bookmarkStart w:id="59" w:name="_Toc500539869"/>
      <w:bookmarkStart w:id="60" w:name="_Toc31272"/>
      <w:bookmarkStart w:id="61" w:name="_Toc29308501"/>
      <w:r>
        <w:rPr>
          <w:rFonts w:ascii="方正楷体简体" w:eastAsia="方正楷体简体" w:hAnsi="Helvetica" w:cs="Helvetica" w:hint="eastAsia"/>
          <w:b/>
          <w:sz w:val="32"/>
          <w:szCs w:val="32"/>
        </w:rPr>
        <w:t>七、</w:t>
      </w:r>
      <w:r w:rsidR="00342764" w:rsidRPr="00342764">
        <w:rPr>
          <w:rFonts w:ascii="方正楷体简体" w:eastAsia="方正楷体简体" w:hAnsi="Helvetica" w:cs="Helvetica" w:hint="eastAsia"/>
          <w:b/>
          <w:sz w:val="32"/>
          <w:szCs w:val="32"/>
        </w:rPr>
        <w:t>健全就业指导课程，提升就业服务质量</w:t>
      </w:r>
      <w:bookmarkEnd w:id="56"/>
      <w:bookmarkEnd w:id="57"/>
      <w:bookmarkEnd w:id="58"/>
      <w:bookmarkEnd w:id="59"/>
      <w:bookmarkEnd w:id="60"/>
      <w:bookmarkEnd w:id="61"/>
    </w:p>
    <w:p w:rsidR="00342764" w:rsidRPr="00342764" w:rsidRDefault="00342764" w:rsidP="00342764">
      <w:pPr>
        <w:ind w:firstLineChars="200" w:firstLine="640"/>
        <w:rPr>
          <w:rFonts w:ascii="方正仿宋_GBK" w:eastAsia="方正仿宋_GBK" w:hAnsi="仿宋" w:cs="仿宋"/>
          <w:sz w:val="32"/>
          <w:szCs w:val="32"/>
        </w:rPr>
      </w:pPr>
      <w:r w:rsidRPr="00342764">
        <w:rPr>
          <w:rFonts w:ascii="方正仿宋_GBK" w:eastAsia="方正仿宋_GBK" w:hAnsi="仿宋" w:cs="仿宋" w:hint="eastAsia"/>
          <w:sz w:val="32"/>
          <w:szCs w:val="32"/>
        </w:rPr>
        <w:t>针对毕业生中存在找工作时</w:t>
      </w:r>
      <w:r w:rsidR="00237D5C" w:rsidRPr="00342764">
        <w:rPr>
          <w:rFonts w:ascii="方正仿宋_GBK" w:eastAsia="方正仿宋_GBK" w:hAnsi="仿宋" w:cs="仿宋" w:hint="eastAsia"/>
          <w:sz w:val="32"/>
          <w:szCs w:val="32"/>
        </w:rPr>
        <w:t>好高骛远</w:t>
      </w:r>
      <w:r w:rsidRPr="00342764">
        <w:rPr>
          <w:rFonts w:ascii="方正仿宋_GBK" w:eastAsia="方正仿宋_GBK" w:hAnsi="仿宋" w:cs="仿宋" w:hint="eastAsia"/>
          <w:sz w:val="32"/>
          <w:szCs w:val="32"/>
        </w:rPr>
        <w:t>、实际工作中眼高手低、就业后频繁跳槽等现象，建立了科学合理的课程体系。将“就业指导课程”分为了两个阶段开设。第一阶段针对大一新生开展“职业生涯规划指导”，以引导大学生明晰就业前景，了解专业培养目标、制定学业规划和职业规划；第二阶段针对毕业生开展“就业观念与就业技能”指导，辅导学生制作有关求职材料与获取就业信息，帮助学生做好就业相关准备，以提升就业成功率。</w:t>
      </w:r>
    </w:p>
    <w:p w:rsidR="00342764" w:rsidRPr="00342764" w:rsidRDefault="008E7370" w:rsidP="0098054E">
      <w:pPr>
        <w:spacing w:beforeLines="50" w:afterLines="50"/>
        <w:outlineLvl w:val="1"/>
        <w:rPr>
          <w:rFonts w:ascii="方正楷体简体" w:eastAsia="方正楷体简体" w:hAnsi="Helvetica" w:cs="Helvetica"/>
          <w:b/>
          <w:sz w:val="32"/>
          <w:szCs w:val="32"/>
        </w:rPr>
      </w:pPr>
      <w:bookmarkStart w:id="62" w:name="_Toc29308502"/>
      <w:r>
        <w:rPr>
          <w:rFonts w:ascii="方正楷体简体" w:eastAsia="方正楷体简体" w:hAnsi="Helvetica" w:cs="Helvetica" w:hint="eastAsia"/>
          <w:b/>
          <w:sz w:val="32"/>
          <w:szCs w:val="32"/>
        </w:rPr>
        <w:t>八、</w:t>
      </w:r>
      <w:r w:rsidR="00342764" w:rsidRPr="00342764">
        <w:rPr>
          <w:rFonts w:ascii="方正楷体简体" w:eastAsia="方正楷体简体" w:hAnsi="Helvetica" w:cs="Helvetica" w:hint="eastAsia"/>
          <w:b/>
          <w:sz w:val="32"/>
          <w:szCs w:val="32"/>
        </w:rPr>
        <w:t>以大赛促实践，以实践推动大赛</w:t>
      </w:r>
      <w:bookmarkEnd w:id="62"/>
    </w:p>
    <w:p w:rsidR="00342764" w:rsidRPr="00342764" w:rsidRDefault="00342764" w:rsidP="00342764">
      <w:pPr>
        <w:widowControl/>
        <w:shd w:val="clear" w:color="auto" w:fill="FFFFFF"/>
        <w:ind w:firstLineChars="200" w:firstLine="640"/>
        <w:rPr>
          <w:rFonts w:ascii="方正仿宋_GBK" w:eastAsia="方正仿宋_GBK" w:hAnsi="仿宋" w:cs="仿宋"/>
          <w:color w:val="000000"/>
          <w:kern w:val="0"/>
          <w:sz w:val="32"/>
          <w:szCs w:val="32"/>
        </w:rPr>
      </w:pPr>
      <w:r w:rsidRPr="00342764">
        <w:rPr>
          <w:rFonts w:ascii="方正仿宋_GBK" w:eastAsia="方正仿宋_GBK" w:hAnsi="仿宋" w:cs="仿宋" w:hint="eastAsia"/>
          <w:color w:val="000000"/>
          <w:kern w:val="0"/>
          <w:sz w:val="32"/>
          <w:szCs w:val="32"/>
        </w:rPr>
        <w:t>7月23日至25日，第五届中国“互联网+”大学生创新创业大赛重庆赛区选拔赛决赛在璧山举办。学院近300项项目报名参赛，经过系部初赛、学校决赛，共推荐17个项目进入市级比赛。获得银奖5项，铜奖6项，优秀奖5项，获</w:t>
      </w:r>
      <w:r w:rsidRPr="00342764">
        <w:rPr>
          <w:rFonts w:ascii="方正仿宋_GBK" w:eastAsia="方正仿宋_GBK" w:hAnsi="仿宋" w:cs="仿宋" w:hint="eastAsia"/>
          <w:color w:val="000000"/>
          <w:kern w:val="0"/>
          <w:sz w:val="32"/>
          <w:szCs w:val="32"/>
        </w:rPr>
        <w:lastRenderedPageBreak/>
        <w:t>奖数量和质量均创历史新高。学校被评为“职教赛道先进集体”。</w:t>
      </w:r>
    </w:p>
    <w:p w:rsidR="00342764" w:rsidRPr="00342764" w:rsidRDefault="00342764" w:rsidP="00342764">
      <w:pPr>
        <w:widowControl/>
        <w:shd w:val="clear" w:color="auto" w:fill="FFFFFF"/>
        <w:ind w:firstLineChars="200" w:firstLine="640"/>
        <w:rPr>
          <w:rFonts w:ascii="方正仿宋_GBK" w:eastAsia="方正仿宋_GBK" w:hAnsi="仿宋" w:cs="仿宋"/>
          <w:color w:val="000000"/>
          <w:kern w:val="0"/>
          <w:sz w:val="32"/>
          <w:szCs w:val="32"/>
        </w:rPr>
      </w:pPr>
      <w:r w:rsidRPr="00342764">
        <w:rPr>
          <w:rFonts w:ascii="方正仿宋_GBK" w:eastAsia="方正仿宋_GBK" w:hAnsi="仿宋" w:cs="仿宋" w:hint="eastAsia"/>
          <w:color w:val="000000"/>
          <w:kern w:val="0"/>
          <w:sz w:val="32"/>
          <w:szCs w:val="32"/>
        </w:rPr>
        <w:t>12月13日，由市教委、市科技局等单位共同主办的重庆市第七届大学生创新创业大赛自今年9月启动，共有来自55所高校的7744支团队报名参赛，通过校级初赛、复赛等环节比拼，最终45支初创组团队和15支成长组团队晋级决赛。冠军争夺赛，在重庆大学虎溪校区举行。从全市高校脱颖而出的12支团队参加了冠军争夺赛，经过激烈角逐，学校成长组项目的“一寸光阴”位列第7名，获得二等奖。学校获得大赛“优秀组织奖”。</w:t>
      </w:r>
    </w:p>
    <w:p w:rsidR="00342764" w:rsidRPr="00342764" w:rsidRDefault="00342764" w:rsidP="00342764">
      <w:pPr>
        <w:ind w:firstLineChars="200" w:firstLine="640"/>
        <w:rPr>
          <w:rFonts w:ascii="方正仿宋_GBK" w:eastAsia="方正仿宋_GBK" w:hAnsi="方正仿宋_GBK" w:cs="方正仿宋_GBK"/>
          <w:sz w:val="32"/>
          <w:szCs w:val="32"/>
        </w:rPr>
      </w:pPr>
      <w:r w:rsidRPr="00342764">
        <w:rPr>
          <w:rFonts w:ascii="方正仿宋_GBK" w:eastAsia="方正仿宋_GBK" w:hAnsi="仿宋" w:cs="仿宋" w:hint="eastAsia"/>
          <w:sz w:val="32"/>
          <w:szCs w:val="32"/>
        </w:rPr>
        <w:t>学院轨道与机电工程系城市轨道交通车辆技术专业毕业生曾凡伟，现任重庆市卓龙文化传媒有限公司执行董事。该生在校期间，思想上不断要求进步，学习成绩优良，行为作风端正，尊重师长，团结同学，积极参加学院、系部组织的</w:t>
      </w:r>
      <w:r w:rsidRPr="00342764">
        <w:rPr>
          <w:rFonts w:ascii="方正仿宋_GBK" w:eastAsia="方正仿宋_GBK" w:hAnsi="方正仿宋_GBK" w:cs="方正仿宋_GBK" w:hint="eastAsia"/>
          <w:sz w:val="32"/>
          <w:szCs w:val="32"/>
        </w:rPr>
        <w:t>各项活动。从入学伊始，学校 “创新创业”教育及实践活动不断点燃他心中“自主创业”的火苗。出于对舞台幕后工作的热爱，他积极利用寒暑假、周末等闲暇时间在文化传媒公司兼职，学习灯光音响控制、活动策划执行等相关岗位实操经验。学校一方面为他提供了创业政策咨询和指导，另一方面将学校的迎新晚会、校园歌手大赛等大型活动的灯光音响等舞美交由他策划准备。在学校老师的不断鼓励下，该生积极投入创业准备，在经历了三年多经验的积累和意志的</w:t>
      </w:r>
      <w:r w:rsidRPr="00342764">
        <w:rPr>
          <w:rFonts w:ascii="方正仿宋_GBK" w:eastAsia="方正仿宋_GBK" w:hAnsi="方正仿宋_GBK" w:cs="方正仿宋_GBK" w:hint="eastAsia"/>
          <w:sz w:val="32"/>
          <w:szCs w:val="32"/>
        </w:rPr>
        <w:lastRenderedPageBreak/>
        <w:t>磨炼后，他鼓起勇气，迈出了自主创业的重要一步。2017年7月4日，成立了其人生中第一个公司——重庆市卓龙文化传媒有限公司。截止目前公司资产规模已达一百余万元，员工人数12人。自创立至今，公司已承办执行过各类大中小型活动百余场，公司经历一年多的风雨洗礼，无论是舞美设备、专业技术还是细节安全，都是走在了行业前列，赢得了各界客户的一致好评和认可，逐渐成为多元化经营的文化传媒公司。</w:t>
      </w:r>
    </w:p>
    <w:p w:rsidR="00342764" w:rsidRPr="00342764" w:rsidRDefault="008E7370" w:rsidP="0098054E">
      <w:pPr>
        <w:spacing w:beforeLines="50" w:afterLines="50"/>
        <w:outlineLvl w:val="1"/>
        <w:rPr>
          <w:rFonts w:ascii="方正楷体简体" w:eastAsia="方正楷体简体" w:hAnsi="Helvetica" w:cs="Helvetica"/>
          <w:b/>
          <w:sz w:val="32"/>
          <w:szCs w:val="32"/>
        </w:rPr>
      </w:pPr>
      <w:bookmarkStart w:id="63" w:name="_Toc29308503"/>
      <w:r>
        <w:rPr>
          <w:rFonts w:ascii="方正楷体简体" w:eastAsia="方正楷体简体" w:hAnsi="Helvetica" w:cs="Helvetica" w:hint="eastAsia"/>
          <w:b/>
          <w:sz w:val="32"/>
          <w:szCs w:val="32"/>
        </w:rPr>
        <w:t>九、</w:t>
      </w:r>
      <w:r w:rsidR="00342764" w:rsidRPr="00342764">
        <w:rPr>
          <w:rFonts w:ascii="方正楷体简体" w:eastAsia="方正楷体简体" w:hAnsi="Helvetica" w:cs="Helvetica" w:hint="eastAsia"/>
          <w:b/>
          <w:sz w:val="32"/>
          <w:szCs w:val="32"/>
        </w:rPr>
        <w:t>建设双创基地，打造双创实践环境</w:t>
      </w:r>
      <w:bookmarkEnd w:id="63"/>
    </w:p>
    <w:p w:rsidR="00342764" w:rsidRPr="00342764" w:rsidRDefault="00342764" w:rsidP="00342764">
      <w:pPr>
        <w:ind w:firstLineChars="200" w:firstLine="640"/>
        <w:rPr>
          <w:rFonts w:ascii="方正仿宋_GBK" w:eastAsia="方正仿宋_GBK" w:hAnsi="仿宋" w:cs="仿宋"/>
          <w:color w:val="000000"/>
          <w:sz w:val="32"/>
          <w:szCs w:val="32"/>
        </w:rPr>
      </w:pPr>
      <w:r w:rsidRPr="00342764">
        <w:rPr>
          <w:rFonts w:ascii="方正仿宋_GBK" w:eastAsia="方正仿宋_GBK" w:hAnsi="仿宋" w:cs="仿宋" w:hint="eastAsia"/>
          <w:color w:val="000000"/>
          <w:sz w:val="32"/>
          <w:szCs w:val="32"/>
        </w:rPr>
        <w:t>学院高度重视创新创业工作，主动适应创新驱动发展要求，落实立德树人根本任务，秉承“打造双创平台、共享创新资源、营造建筑文化、培育工匠精神”的理念，深化学院创新创业教育改革，加快师生创业项目的落地。打造集激发创意、交流共享、创意实现、创业孵化等功能为一体的大学生创业实战平台。</w:t>
      </w:r>
    </w:p>
    <w:p w:rsidR="00342764" w:rsidRPr="00342764" w:rsidRDefault="00342764" w:rsidP="00342764">
      <w:pPr>
        <w:ind w:firstLineChars="200" w:firstLine="640"/>
        <w:rPr>
          <w:rFonts w:ascii="方正仿宋_GBK" w:eastAsia="方正仿宋_GBK" w:hAnsi="仿宋" w:cs="仿宋"/>
          <w:color w:val="000000"/>
          <w:sz w:val="32"/>
          <w:szCs w:val="32"/>
        </w:rPr>
      </w:pPr>
      <w:r w:rsidRPr="00342764">
        <w:rPr>
          <w:rFonts w:ascii="方正仿宋_GBK" w:eastAsia="方正仿宋_GBK" w:hAnsi="仿宋" w:cs="仿宋" w:hint="eastAsia"/>
          <w:color w:val="000000"/>
          <w:sz w:val="32"/>
          <w:szCs w:val="32"/>
        </w:rPr>
        <w:t>学院与中国建筑工业出版社共同投资建设集创业孵化器、校园书店、图书馆、阅览室、学术沙龙等功能为一体的 “建工书屋”。通过为在校大学生提供场地、专业知识储备等条件，鼓励有创业头脑的师生进行创业。“建工书屋”为在校学生提供创业实践平台。2019年“建工书屋”投入运营以来先后提供30余个勤工助学岗位吸纳有创业意愿的优秀</w:t>
      </w:r>
      <w:r w:rsidRPr="00342764">
        <w:rPr>
          <w:rFonts w:ascii="方正仿宋_GBK" w:eastAsia="方正仿宋_GBK" w:hAnsi="仿宋" w:cs="仿宋" w:hint="eastAsia"/>
          <w:color w:val="000000"/>
          <w:sz w:val="32"/>
          <w:szCs w:val="32"/>
        </w:rPr>
        <w:lastRenderedPageBreak/>
        <w:t>学生加入书屋运营及管理。实现了学生从创业意识到创业实践的转化，提高了学生的实践能力创新能力、团队合作能力、创业精神等，为学生生涯发展提供支持。“建工书屋”</w:t>
      </w:r>
      <w:r w:rsidRPr="00342764">
        <w:rPr>
          <w:rFonts w:ascii="方正仿宋_GBK" w:eastAsia="方正仿宋_GBK" w:hAnsi="仿宋" w:cs="仿宋" w:hint="eastAsia"/>
          <w:color w:val="000000"/>
          <w:kern w:val="0"/>
          <w:sz w:val="32"/>
          <w:szCs w:val="32"/>
        </w:rPr>
        <w:t>获得由 “书香中国万里行”中国高校校园书店优秀案例奖。</w:t>
      </w:r>
    </w:p>
    <w:p w:rsidR="00342764" w:rsidRPr="00342764" w:rsidRDefault="00342764">
      <w:pPr>
        <w:jc w:val="left"/>
        <w:rPr>
          <w:rFonts w:ascii="方正仿宋_GBK" w:eastAsia="方正仿宋_GBK"/>
          <w:sz w:val="32"/>
          <w:szCs w:val="32"/>
        </w:rPr>
      </w:pPr>
    </w:p>
    <w:sectPr w:rsidR="00342764" w:rsidRPr="00342764" w:rsidSect="00F27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C0B" w:rsidRDefault="00485C0B" w:rsidP="00DA3D1F">
      <w:r>
        <w:separator/>
      </w:r>
    </w:p>
  </w:endnote>
  <w:endnote w:type="continuationSeparator" w:id="0">
    <w:p w:rsidR="00485C0B" w:rsidRDefault="00485C0B" w:rsidP="00DA3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1F" w:rsidRDefault="00DA3D1F">
    <w:pPr>
      <w:pStyle w:val="a8"/>
      <w:jc w:val="center"/>
    </w:pPr>
  </w:p>
  <w:p w:rsidR="00DA3D1F" w:rsidRDefault="00DA3D1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781615"/>
      <w:docPartObj>
        <w:docPartGallery w:val="Page Numbers (Bottom of Page)"/>
        <w:docPartUnique/>
      </w:docPartObj>
    </w:sdtPr>
    <w:sdtContent>
      <w:p w:rsidR="004E74BB" w:rsidRDefault="002811BE">
        <w:pPr>
          <w:pStyle w:val="a8"/>
          <w:jc w:val="center"/>
        </w:pPr>
        <w:r>
          <w:fldChar w:fldCharType="begin"/>
        </w:r>
        <w:r w:rsidR="004E74BB">
          <w:instrText>PAGE   \* MERGEFORMAT</w:instrText>
        </w:r>
        <w:r>
          <w:fldChar w:fldCharType="separate"/>
        </w:r>
        <w:r w:rsidR="008B4D14" w:rsidRPr="008B4D14">
          <w:rPr>
            <w:noProof/>
            <w:lang w:val="zh-CN"/>
          </w:rPr>
          <w:t>14</w:t>
        </w:r>
        <w:r>
          <w:fldChar w:fldCharType="end"/>
        </w:r>
      </w:p>
    </w:sdtContent>
  </w:sdt>
  <w:p w:rsidR="004E74BB" w:rsidRDefault="004E74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C0B" w:rsidRDefault="00485C0B" w:rsidP="00DA3D1F">
      <w:r>
        <w:separator/>
      </w:r>
    </w:p>
  </w:footnote>
  <w:footnote w:type="continuationSeparator" w:id="0">
    <w:p w:rsidR="00485C0B" w:rsidRDefault="00485C0B" w:rsidP="00DA3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3F7"/>
    <w:multiLevelType w:val="hybridMultilevel"/>
    <w:tmpl w:val="6CA20A46"/>
    <w:lvl w:ilvl="0" w:tplc="C6A8C1F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FA0E20"/>
    <w:multiLevelType w:val="hybridMultilevel"/>
    <w:tmpl w:val="920C3D24"/>
    <w:lvl w:ilvl="0" w:tplc="F87666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43243B"/>
    <w:multiLevelType w:val="hybridMultilevel"/>
    <w:tmpl w:val="FBB28F24"/>
    <w:lvl w:ilvl="0" w:tplc="683097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BF5B5D"/>
    <w:multiLevelType w:val="hybridMultilevel"/>
    <w:tmpl w:val="98101F6E"/>
    <w:lvl w:ilvl="0" w:tplc="E5EAE374">
      <w:start w:val="1"/>
      <w:numFmt w:val="japaneseCounting"/>
      <w:lvlText w:val="（%1）"/>
      <w:lvlJc w:val="left"/>
      <w:pPr>
        <w:ind w:left="1230" w:hanging="108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3370"/>
    <w:rsid w:val="00054519"/>
    <w:rsid w:val="00070365"/>
    <w:rsid w:val="000E28F9"/>
    <w:rsid w:val="00160034"/>
    <w:rsid w:val="00160BC2"/>
    <w:rsid w:val="001B786D"/>
    <w:rsid w:val="00237D5C"/>
    <w:rsid w:val="0025549D"/>
    <w:rsid w:val="002811BE"/>
    <w:rsid w:val="002A3370"/>
    <w:rsid w:val="002E62B0"/>
    <w:rsid w:val="00342764"/>
    <w:rsid w:val="003429B5"/>
    <w:rsid w:val="00344773"/>
    <w:rsid w:val="003568F6"/>
    <w:rsid w:val="00380C98"/>
    <w:rsid w:val="00381F00"/>
    <w:rsid w:val="003C135C"/>
    <w:rsid w:val="0044128C"/>
    <w:rsid w:val="00450103"/>
    <w:rsid w:val="004731DD"/>
    <w:rsid w:val="00485C0B"/>
    <w:rsid w:val="004913BD"/>
    <w:rsid w:val="004A5CD2"/>
    <w:rsid w:val="004C6495"/>
    <w:rsid w:val="004E4C1A"/>
    <w:rsid w:val="004E74BB"/>
    <w:rsid w:val="004F20E9"/>
    <w:rsid w:val="00583D08"/>
    <w:rsid w:val="005F55CF"/>
    <w:rsid w:val="006B3FA0"/>
    <w:rsid w:val="006E24CD"/>
    <w:rsid w:val="006E688B"/>
    <w:rsid w:val="0074152C"/>
    <w:rsid w:val="007A064D"/>
    <w:rsid w:val="008B4D14"/>
    <w:rsid w:val="008E7370"/>
    <w:rsid w:val="00951313"/>
    <w:rsid w:val="0098054E"/>
    <w:rsid w:val="009C647C"/>
    <w:rsid w:val="00A249ED"/>
    <w:rsid w:val="00A958ED"/>
    <w:rsid w:val="00B13E18"/>
    <w:rsid w:val="00BC4DC5"/>
    <w:rsid w:val="00CD1572"/>
    <w:rsid w:val="00D328CE"/>
    <w:rsid w:val="00DA3D1F"/>
    <w:rsid w:val="00DB1BE0"/>
    <w:rsid w:val="00E135DF"/>
    <w:rsid w:val="00E464BD"/>
    <w:rsid w:val="00EA08E3"/>
    <w:rsid w:val="00EB5A83"/>
    <w:rsid w:val="00F27F1A"/>
    <w:rsid w:val="00F332E3"/>
    <w:rsid w:val="00F7154E"/>
    <w:rsid w:val="00F85788"/>
    <w:rsid w:val="00FA5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F1A"/>
    <w:pPr>
      <w:widowControl w:val="0"/>
      <w:jc w:val="both"/>
    </w:pPr>
    <w:rPr>
      <w:kern w:val="2"/>
      <w:sz w:val="21"/>
      <w:szCs w:val="24"/>
    </w:rPr>
  </w:style>
  <w:style w:type="paragraph" w:styleId="2">
    <w:name w:val="heading 2"/>
    <w:basedOn w:val="a"/>
    <w:next w:val="a"/>
    <w:link w:val="2Char1"/>
    <w:uiPriority w:val="99"/>
    <w:qFormat/>
    <w:rsid w:val="00342764"/>
    <w:pPr>
      <w:keepNext/>
      <w:keepLines/>
      <w:spacing w:line="560" w:lineRule="exact"/>
      <w:outlineLvl w:val="1"/>
    </w:pPr>
    <w:rPr>
      <w:rFonts w:ascii="Calibri Light" w:eastAsia="楷体"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B1BE0"/>
    <w:rPr>
      <w:sz w:val="18"/>
      <w:szCs w:val="18"/>
    </w:rPr>
  </w:style>
  <w:style w:type="character" w:customStyle="1" w:styleId="Char">
    <w:name w:val="批注框文本 Char"/>
    <w:basedOn w:val="a0"/>
    <w:link w:val="a3"/>
    <w:rsid w:val="00DB1BE0"/>
    <w:rPr>
      <w:kern w:val="2"/>
      <w:sz w:val="18"/>
      <w:szCs w:val="18"/>
    </w:rPr>
  </w:style>
  <w:style w:type="paragraph" w:styleId="a4">
    <w:name w:val="List Paragraph"/>
    <w:basedOn w:val="a"/>
    <w:uiPriority w:val="34"/>
    <w:qFormat/>
    <w:rsid w:val="00F85788"/>
    <w:pPr>
      <w:ind w:firstLineChars="200" w:firstLine="420"/>
    </w:pPr>
    <w:rPr>
      <w:rFonts w:asciiTheme="minorHAnsi" w:eastAsiaTheme="minorEastAsia" w:hAnsiTheme="minorHAnsi" w:cstheme="minorBidi"/>
      <w:szCs w:val="22"/>
    </w:rPr>
  </w:style>
  <w:style w:type="table" w:styleId="a5">
    <w:name w:val="Table Grid"/>
    <w:basedOn w:val="a1"/>
    <w:rsid w:val="00E46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160034"/>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semiHidden/>
    <w:rsid w:val="00342764"/>
    <w:rPr>
      <w:rFonts w:asciiTheme="majorHAnsi" w:eastAsiaTheme="majorEastAsia" w:hAnsiTheme="majorHAnsi" w:cstheme="majorBidi"/>
      <w:b/>
      <w:bCs/>
      <w:kern w:val="2"/>
      <w:sz w:val="32"/>
      <w:szCs w:val="32"/>
    </w:rPr>
  </w:style>
  <w:style w:type="character" w:customStyle="1" w:styleId="2Char1">
    <w:name w:val="标题 2 Char1"/>
    <w:link w:val="2"/>
    <w:uiPriority w:val="99"/>
    <w:qFormat/>
    <w:locked/>
    <w:rsid w:val="00342764"/>
    <w:rPr>
      <w:rFonts w:ascii="Calibri Light" w:eastAsia="楷体" w:hAnsi="Calibri Light"/>
      <w:b/>
      <w:bCs/>
      <w:kern w:val="2"/>
      <w:sz w:val="32"/>
      <w:szCs w:val="32"/>
    </w:rPr>
  </w:style>
  <w:style w:type="paragraph" w:styleId="a7">
    <w:name w:val="header"/>
    <w:basedOn w:val="a"/>
    <w:link w:val="Char0"/>
    <w:rsid w:val="00DA3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DA3D1F"/>
    <w:rPr>
      <w:kern w:val="2"/>
      <w:sz w:val="18"/>
      <w:szCs w:val="18"/>
    </w:rPr>
  </w:style>
  <w:style w:type="paragraph" w:styleId="a8">
    <w:name w:val="footer"/>
    <w:basedOn w:val="a"/>
    <w:link w:val="Char1"/>
    <w:uiPriority w:val="99"/>
    <w:rsid w:val="00DA3D1F"/>
    <w:pPr>
      <w:tabs>
        <w:tab w:val="center" w:pos="4153"/>
        <w:tab w:val="right" w:pos="8306"/>
      </w:tabs>
      <w:snapToGrid w:val="0"/>
      <w:jc w:val="left"/>
    </w:pPr>
    <w:rPr>
      <w:sz w:val="18"/>
      <w:szCs w:val="18"/>
    </w:rPr>
  </w:style>
  <w:style w:type="character" w:customStyle="1" w:styleId="Char1">
    <w:name w:val="页脚 Char"/>
    <w:basedOn w:val="a0"/>
    <w:link w:val="a8"/>
    <w:uiPriority w:val="99"/>
    <w:rsid w:val="00DA3D1F"/>
    <w:rPr>
      <w:kern w:val="2"/>
      <w:sz w:val="18"/>
      <w:szCs w:val="18"/>
    </w:rPr>
  </w:style>
  <w:style w:type="paragraph" w:styleId="1">
    <w:name w:val="toc 1"/>
    <w:basedOn w:val="a"/>
    <w:next w:val="a"/>
    <w:autoRedefine/>
    <w:uiPriority w:val="39"/>
    <w:rsid w:val="004C6495"/>
  </w:style>
  <w:style w:type="paragraph" w:styleId="20">
    <w:name w:val="toc 2"/>
    <w:basedOn w:val="a"/>
    <w:next w:val="a"/>
    <w:autoRedefine/>
    <w:uiPriority w:val="39"/>
    <w:rsid w:val="004C6495"/>
    <w:pPr>
      <w:ind w:leftChars="200" w:left="420"/>
    </w:pPr>
  </w:style>
  <w:style w:type="character" w:styleId="a9">
    <w:name w:val="Hyperlink"/>
    <w:basedOn w:val="a0"/>
    <w:uiPriority w:val="99"/>
    <w:unhideWhenUsed/>
    <w:rsid w:val="004C649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9"/>
    <w:qFormat/>
    <w:rsid w:val="00342764"/>
    <w:pPr>
      <w:keepNext/>
      <w:keepLines/>
      <w:spacing w:line="560" w:lineRule="exact"/>
      <w:outlineLvl w:val="1"/>
    </w:pPr>
    <w:rPr>
      <w:rFonts w:ascii="Calibri Light" w:eastAsia="楷体" w:hAnsi="Calibri Light"/>
      <w:b/>
      <w:bCs/>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B1BE0"/>
    <w:rPr>
      <w:sz w:val="18"/>
      <w:szCs w:val="18"/>
    </w:rPr>
  </w:style>
  <w:style w:type="character" w:customStyle="1" w:styleId="Char">
    <w:name w:val="批注框文本 Char"/>
    <w:basedOn w:val="a0"/>
    <w:link w:val="a3"/>
    <w:rsid w:val="00DB1BE0"/>
    <w:rPr>
      <w:kern w:val="2"/>
      <w:sz w:val="18"/>
      <w:szCs w:val="18"/>
    </w:rPr>
  </w:style>
  <w:style w:type="paragraph" w:styleId="a4">
    <w:name w:val="List Paragraph"/>
    <w:basedOn w:val="a"/>
    <w:uiPriority w:val="34"/>
    <w:qFormat/>
    <w:rsid w:val="00F85788"/>
    <w:pPr>
      <w:ind w:firstLineChars="200" w:firstLine="420"/>
    </w:pPr>
    <w:rPr>
      <w:rFonts w:asciiTheme="minorHAnsi" w:eastAsiaTheme="minorEastAsia" w:hAnsiTheme="minorHAnsi" w:cstheme="minorBidi"/>
      <w:szCs w:val="22"/>
    </w:rPr>
  </w:style>
  <w:style w:type="table" w:styleId="a5">
    <w:name w:val="Table Grid"/>
    <w:basedOn w:val="a1"/>
    <w:rsid w:val="00E4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60034"/>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semiHidden/>
    <w:rsid w:val="00342764"/>
    <w:rPr>
      <w:rFonts w:asciiTheme="majorHAnsi" w:eastAsiaTheme="majorEastAsia" w:hAnsiTheme="majorHAnsi" w:cstheme="majorBidi"/>
      <w:b/>
      <w:bCs/>
      <w:kern w:val="2"/>
      <w:sz w:val="32"/>
      <w:szCs w:val="32"/>
    </w:rPr>
  </w:style>
  <w:style w:type="character" w:customStyle="1" w:styleId="20">
    <w:name w:val="标题 2 字符"/>
    <w:link w:val="2"/>
    <w:uiPriority w:val="99"/>
    <w:qFormat/>
    <w:locked/>
    <w:rsid w:val="00342764"/>
    <w:rPr>
      <w:rFonts w:ascii="Calibri Light" w:eastAsia="楷体" w:hAnsi="Calibri Light"/>
      <w:b/>
      <w:bCs/>
      <w:kern w:val="2"/>
      <w:sz w:val="32"/>
      <w:szCs w:val="32"/>
      <w:lang w:val="x-none" w:eastAsia="x-none"/>
    </w:rPr>
  </w:style>
  <w:style w:type="paragraph" w:styleId="a7">
    <w:name w:val="header"/>
    <w:basedOn w:val="a"/>
    <w:link w:val="Char0"/>
    <w:rsid w:val="00DA3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DA3D1F"/>
    <w:rPr>
      <w:kern w:val="2"/>
      <w:sz w:val="18"/>
      <w:szCs w:val="18"/>
    </w:rPr>
  </w:style>
  <w:style w:type="paragraph" w:styleId="a8">
    <w:name w:val="footer"/>
    <w:basedOn w:val="a"/>
    <w:link w:val="Char1"/>
    <w:uiPriority w:val="99"/>
    <w:rsid w:val="00DA3D1F"/>
    <w:pPr>
      <w:tabs>
        <w:tab w:val="center" w:pos="4153"/>
        <w:tab w:val="right" w:pos="8306"/>
      </w:tabs>
      <w:snapToGrid w:val="0"/>
      <w:jc w:val="left"/>
    </w:pPr>
    <w:rPr>
      <w:sz w:val="18"/>
      <w:szCs w:val="18"/>
    </w:rPr>
  </w:style>
  <w:style w:type="character" w:customStyle="1" w:styleId="Char1">
    <w:name w:val="页脚 Char"/>
    <w:basedOn w:val="a0"/>
    <w:link w:val="a8"/>
    <w:uiPriority w:val="99"/>
    <w:rsid w:val="00DA3D1F"/>
    <w:rPr>
      <w:kern w:val="2"/>
      <w:sz w:val="18"/>
      <w:szCs w:val="18"/>
    </w:rPr>
  </w:style>
  <w:style w:type="paragraph" w:styleId="1">
    <w:name w:val="toc 1"/>
    <w:basedOn w:val="a"/>
    <w:next w:val="a"/>
    <w:autoRedefine/>
    <w:uiPriority w:val="39"/>
    <w:rsid w:val="004C6495"/>
  </w:style>
  <w:style w:type="paragraph" w:styleId="21">
    <w:name w:val="toc 2"/>
    <w:basedOn w:val="a"/>
    <w:next w:val="a"/>
    <w:autoRedefine/>
    <w:uiPriority w:val="39"/>
    <w:rsid w:val="004C6495"/>
    <w:pPr>
      <w:ind w:leftChars="200" w:left="420"/>
    </w:pPr>
  </w:style>
  <w:style w:type="character" w:styleId="a9">
    <w:name w:val="Hyperlink"/>
    <w:basedOn w:val="a0"/>
    <w:uiPriority w:val="99"/>
    <w:unhideWhenUsed/>
    <w:rsid w:val="004C649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298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1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1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1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34"/>
  <c:clrMapOvr bg1="lt1" tx1="dk1" bg2="lt2" tx2="dk2" accent1="accent1" accent2="accent2" accent3="accent3" accent4="accent4" accent5="accent5" accent6="accent6" hlink="hlink" folHlink="folHlink"/>
  <c:chart>
    <c:title>
      <c:tx>
        <c:rich>
          <a:bodyPr/>
          <a:lstStyle/>
          <a:p>
            <a:pPr>
              <a:defRPr>
                <a:latin typeface="+mn-ea"/>
                <a:ea typeface="+mn-ea"/>
              </a:defRPr>
            </a:pPr>
            <a:r>
              <a:rPr lang="zh-CN" altLang="en-US" sz="1200">
                <a:latin typeface="+mn-ea"/>
                <a:ea typeface="+mn-ea"/>
              </a:rPr>
              <a:t>图</a:t>
            </a:r>
            <a:r>
              <a:rPr lang="en-US" altLang="zh-CN" sz="1200">
                <a:latin typeface="+mn-ea"/>
                <a:ea typeface="+mn-ea"/>
              </a:rPr>
              <a:t>1-1</a:t>
            </a:r>
            <a:r>
              <a:rPr lang="zh-CN" altLang="en-US" sz="1200">
                <a:latin typeface="+mn-ea"/>
                <a:ea typeface="+mn-ea"/>
              </a:rPr>
              <a:t>：毕业生规模</a:t>
            </a:r>
          </a:p>
        </c:rich>
      </c:tx>
    </c:title>
    <c:plotArea>
      <c:layout/>
      <c:barChart>
        <c:barDir val="col"/>
        <c:grouping val="stacked"/>
        <c:ser>
          <c:idx val="0"/>
          <c:order val="0"/>
          <c:tx>
            <c:strRef>
              <c:f>Sheet1!$B$1</c:f>
              <c:strCache>
                <c:ptCount val="1"/>
                <c:pt idx="0">
                  <c:v>毕业生规模</c:v>
                </c:pt>
              </c:strCache>
            </c:strRef>
          </c:tx>
          <c:dLbls>
            <c:spPr>
              <a:noFill/>
              <a:ln w="25403">
                <a:noFill/>
              </a:ln>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2016年</c:v>
                </c:pt>
                <c:pt idx="1">
                  <c:v>2017年</c:v>
                </c:pt>
                <c:pt idx="2">
                  <c:v>2018年</c:v>
                </c:pt>
                <c:pt idx="3">
                  <c:v>2019年</c:v>
                </c:pt>
              </c:strCache>
            </c:strRef>
          </c:cat>
          <c:val>
            <c:numRef>
              <c:f>Sheet1!$B$2:$B$5</c:f>
              <c:numCache>
                <c:formatCode>General</c:formatCode>
                <c:ptCount val="4"/>
                <c:pt idx="0">
                  <c:v>1932</c:v>
                </c:pt>
                <c:pt idx="1">
                  <c:v>2136</c:v>
                </c:pt>
                <c:pt idx="2">
                  <c:v>2382</c:v>
                </c:pt>
                <c:pt idx="3">
                  <c:v>2422</c:v>
                </c:pt>
              </c:numCache>
            </c:numRef>
          </c:val>
          <c:extLst xmlns:c16r2="http://schemas.microsoft.com/office/drawing/2015/06/chart">
            <c:ext xmlns:c16="http://schemas.microsoft.com/office/drawing/2014/chart" uri="{C3380CC4-5D6E-409C-BE32-E72D297353CC}">
              <c16:uniqueId val="{00000000-15EC-468B-A9F2-F6CCDE432593}"/>
            </c:ext>
          </c:extLst>
        </c:ser>
        <c:gapWidth val="95"/>
        <c:overlap val="100"/>
        <c:axId val="103319424"/>
        <c:axId val="103320960"/>
      </c:barChart>
      <c:catAx>
        <c:axId val="103319424"/>
        <c:scaling>
          <c:orientation val="minMax"/>
        </c:scaling>
        <c:axPos val="b"/>
        <c:numFmt formatCode="g/&quot;通&quot;&quot;用&quot;&quot;格&quot;&quot;式&quot;" sourceLinked="0"/>
        <c:majorTickMark val="none"/>
        <c:tickLblPos val="nextTo"/>
        <c:crossAx val="103320960"/>
        <c:crosses val="autoZero"/>
        <c:auto val="1"/>
        <c:lblAlgn val="ctr"/>
        <c:lblOffset val="100"/>
      </c:catAx>
      <c:valAx>
        <c:axId val="103320960"/>
        <c:scaling>
          <c:orientation val="minMax"/>
        </c:scaling>
        <c:delete val="1"/>
        <c:axPos val="l"/>
        <c:numFmt formatCode="General" sourceLinked="1"/>
        <c:tickLblPos val="none"/>
        <c:crossAx val="103319424"/>
        <c:crosses val="autoZero"/>
        <c:crossBetween val="between"/>
      </c:valAx>
    </c:plotArea>
    <c:plotVisOnly val="1"/>
    <c:dispBlanksAs val="gap"/>
  </c:chart>
  <c:spPr>
    <a:solidFill>
      <a:schemeClr val="bg1">
        <a:lumMod val="85000"/>
      </a:schemeClr>
    </a:soli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就业形式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单位就业</c:v>
                </c:pt>
                <c:pt idx="1">
                  <c:v>自由职业</c:v>
                </c:pt>
                <c:pt idx="2">
                  <c:v>升学</c:v>
                </c:pt>
                <c:pt idx="3">
                  <c:v>自主创业</c:v>
                </c:pt>
                <c:pt idx="4">
                  <c:v>应征入伍</c:v>
                </c:pt>
                <c:pt idx="5">
                  <c:v>出国出境</c:v>
                </c:pt>
              </c:strCache>
            </c:strRef>
          </c:cat>
          <c:val>
            <c:numRef>
              <c:f>Sheet1!$B$2:$B$7</c:f>
              <c:numCache>
                <c:formatCode>General</c:formatCode>
                <c:ptCount val="6"/>
                <c:pt idx="0">
                  <c:v>2023</c:v>
                </c:pt>
                <c:pt idx="1">
                  <c:v>135</c:v>
                </c:pt>
                <c:pt idx="2">
                  <c:v>133</c:v>
                </c:pt>
                <c:pt idx="3">
                  <c:v>27</c:v>
                </c:pt>
                <c:pt idx="4">
                  <c:v>21</c:v>
                </c:pt>
                <c:pt idx="5">
                  <c:v>6</c:v>
                </c:pt>
              </c:numCache>
            </c:numRef>
          </c:val>
          <c:extLst xmlns:c16r2="http://schemas.microsoft.com/office/drawing/2015/06/chart">
            <c:ext xmlns:c16="http://schemas.microsoft.com/office/drawing/2014/chart" uri="{C3380CC4-5D6E-409C-BE32-E72D297353CC}">
              <c16:uniqueId val="{00000000-07F6-4BC0-B0D1-E67F7FD65327}"/>
            </c:ext>
          </c:extLst>
        </c:ser>
        <c:overlap val="-25"/>
        <c:axId val="132674304"/>
        <c:axId val="132675840"/>
      </c:barChart>
      <c:catAx>
        <c:axId val="132674304"/>
        <c:scaling>
          <c:orientation val="minMax"/>
        </c:scaling>
        <c:axPos val="l"/>
        <c:numFmt formatCode="General" sourceLinked="1"/>
        <c:majorTickMark val="none"/>
        <c:tickLblPos val="nextTo"/>
        <c:spPr>
          <a:noFill/>
          <a:ln w="12698"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zh-CN"/>
          </a:p>
        </c:txPr>
        <c:crossAx val="132675840"/>
        <c:crosses val="autoZero"/>
        <c:auto val="1"/>
        <c:lblAlgn val="ctr"/>
        <c:lblOffset val="100"/>
      </c:catAx>
      <c:valAx>
        <c:axId val="132675840"/>
        <c:scaling>
          <c:orientation val="minMax"/>
        </c:scaling>
        <c:delete val="1"/>
        <c:axPos val="b"/>
        <c:numFmt formatCode="General" sourceLinked="1"/>
        <c:tickLblPos val="none"/>
        <c:crossAx val="132674304"/>
        <c:crosses val="autoZero"/>
        <c:crossBetween val="between"/>
      </c:valAx>
      <c:spPr>
        <a:noFill/>
        <a:ln w="25396">
          <a:noFill/>
        </a:ln>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zh-CN"/>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85035459952971"/>
          <c:y val="0.15565896959509293"/>
          <c:w val="0.87183741697092365"/>
          <c:h val="0.82689575039075214"/>
        </c:manualLayout>
      </c:layout>
      <c:barChart>
        <c:barDir val="bar"/>
        <c:grouping val="clustered"/>
        <c:ser>
          <c:idx val="0"/>
          <c:order val="0"/>
          <c:tx>
            <c:strRef>
              <c:f>Sheet1!$B$1</c:f>
              <c:strCache>
                <c:ptCount val="1"/>
                <c:pt idx="0">
                  <c:v>就业地区流向</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Sheet1!$A$2:$A$29</c:f>
              <c:strCache>
                <c:ptCount val="28"/>
                <c:pt idx="0">
                  <c:v>北京</c:v>
                </c:pt>
                <c:pt idx="1">
                  <c:v>天津</c:v>
                </c:pt>
                <c:pt idx="2">
                  <c:v>河北</c:v>
                </c:pt>
                <c:pt idx="3">
                  <c:v>山西</c:v>
                </c:pt>
                <c:pt idx="4">
                  <c:v>内蒙古</c:v>
                </c:pt>
                <c:pt idx="5">
                  <c:v>吉林</c:v>
                </c:pt>
                <c:pt idx="6">
                  <c:v>上海</c:v>
                </c:pt>
                <c:pt idx="7">
                  <c:v>江苏</c:v>
                </c:pt>
                <c:pt idx="8">
                  <c:v>浙江</c:v>
                </c:pt>
                <c:pt idx="9">
                  <c:v>安徽</c:v>
                </c:pt>
                <c:pt idx="10">
                  <c:v>福建</c:v>
                </c:pt>
                <c:pt idx="11">
                  <c:v>江西</c:v>
                </c:pt>
                <c:pt idx="12">
                  <c:v>山东</c:v>
                </c:pt>
                <c:pt idx="13">
                  <c:v>河南</c:v>
                </c:pt>
                <c:pt idx="14">
                  <c:v>湖北</c:v>
                </c:pt>
                <c:pt idx="15">
                  <c:v>湖南</c:v>
                </c:pt>
                <c:pt idx="16">
                  <c:v>广东</c:v>
                </c:pt>
                <c:pt idx="17">
                  <c:v>广西</c:v>
                </c:pt>
                <c:pt idx="18">
                  <c:v>海南</c:v>
                </c:pt>
                <c:pt idx="19">
                  <c:v>重庆</c:v>
                </c:pt>
                <c:pt idx="20">
                  <c:v>四川</c:v>
                </c:pt>
                <c:pt idx="21">
                  <c:v>贵州</c:v>
                </c:pt>
                <c:pt idx="22">
                  <c:v>云南</c:v>
                </c:pt>
                <c:pt idx="23">
                  <c:v>西藏</c:v>
                </c:pt>
                <c:pt idx="24">
                  <c:v>陕西</c:v>
                </c:pt>
                <c:pt idx="25">
                  <c:v>甘肃</c:v>
                </c:pt>
                <c:pt idx="26">
                  <c:v>宁夏</c:v>
                </c:pt>
                <c:pt idx="27">
                  <c:v>西藏</c:v>
                </c:pt>
              </c:strCache>
            </c:strRef>
          </c:cat>
          <c:val>
            <c:numRef>
              <c:f>Sheet1!$B$2:$B$29</c:f>
              <c:numCache>
                <c:formatCode>General</c:formatCode>
                <c:ptCount val="28"/>
                <c:pt idx="0">
                  <c:v>11</c:v>
                </c:pt>
                <c:pt idx="1">
                  <c:v>1</c:v>
                </c:pt>
                <c:pt idx="2">
                  <c:v>2</c:v>
                </c:pt>
                <c:pt idx="3">
                  <c:v>2</c:v>
                </c:pt>
                <c:pt idx="4">
                  <c:v>1</c:v>
                </c:pt>
                <c:pt idx="5">
                  <c:v>4</c:v>
                </c:pt>
                <c:pt idx="6">
                  <c:v>6</c:v>
                </c:pt>
                <c:pt idx="7">
                  <c:v>8</c:v>
                </c:pt>
                <c:pt idx="8">
                  <c:v>17</c:v>
                </c:pt>
                <c:pt idx="9">
                  <c:v>2</c:v>
                </c:pt>
                <c:pt idx="10">
                  <c:v>8</c:v>
                </c:pt>
                <c:pt idx="11">
                  <c:v>5</c:v>
                </c:pt>
                <c:pt idx="12">
                  <c:v>7</c:v>
                </c:pt>
                <c:pt idx="13">
                  <c:v>14</c:v>
                </c:pt>
                <c:pt idx="14">
                  <c:v>22</c:v>
                </c:pt>
                <c:pt idx="15">
                  <c:v>4</c:v>
                </c:pt>
                <c:pt idx="16">
                  <c:v>78</c:v>
                </c:pt>
                <c:pt idx="17">
                  <c:v>27</c:v>
                </c:pt>
                <c:pt idx="18">
                  <c:v>11</c:v>
                </c:pt>
                <c:pt idx="19">
                  <c:v>1787</c:v>
                </c:pt>
                <c:pt idx="20">
                  <c:v>180</c:v>
                </c:pt>
                <c:pt idx="21">
                  <c:v>57</c:v>
                </c:pt>
                <c:pt idx="22">
                  <c:v>30</c:v>
                </c:pt>
                <c:pt idx="23">
                  <c:v>6</c:v>
                </c:pt>
                <c:pt idx="24">
                  <c:v>4</c:v>
                </c:pt>
                <c:pt idx="25">
                  <c:v>1</c:v>
                </c:pt>
                <c:pt idx="26">
                  <c:v>1</c:v>
                </c:pt>
                <c:pt idx="27">
                  <c:v>32</c:v>
                </c:pt>
              </c:numCache>
            </c:numRef>
          </c:val>
          <c:extLst xmlns:c16r2="http://schemas.microsoft.com/office/drawing/2015/06/chart">
            <c:ext xmlns:c16="http://schemas.microsoft.com/office/drawing/2014/chart" uri="{C3380CC4-5D6E-409C-BE32-E72D297353CC}">
              <c16:uniqueId val="{00000000-7041-4286-BBBA-5107CD2680D0}"/>
            </c:ext>
          </c:extLst>
        </c:ser>
        <c:overlap val="-25"/>
        <c:axId val="103299712"/>
        <c:axId val="119173504"/>
      </c:barChart>
      <c:catAx>
        <c:axId val="103299712"/>
        <c:scaling>
          <c:orientation val="minMax"/>
        </c:scaling>
        <c:axPos val="l"/>
        <c:numFmt formatCode="General" sourceLinked="1"/>
        <c:majorTickMark val="none"/>
        <c:tickLblPos val="nextTo"/>
        <c:spPr>
          <a:noFill/>
          <a:ln w="12699"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zh-CN"/>
          </a:p>
        </c:txPr>
        <c:crossAx val="119173504"/>
        <c:crosses val="autoZero"/>
        <c:auto val="1"/>
        <c:lblAlgn val="ctr"/>
        <c:lblOffset val="100"/>
      </c:catAx>
      <c:valAx>
        <c:axId val="119173504"/>
        <c:scaling>
          <c:orientation val="minMax"/>
        </c:scaling>
        <c:delete val="1"/>
        <c:axPos val="b"/>
        <c:numFmt formatCode="General" sourceLinked="1"/>
        <c:tickLblPos val="none"/>
        <c:crossAx val="103299712"/>
        <c:crosses val="autoZero"/>
        <c:crossBetween val="between"/>
      </c:valAx>
      <c:spPr>
        <a:noFill/>
        <a:ln w="25397">
          <a:noFill/>
        </a:ln>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zh-CN"/>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42"/>
  <c:chart>
    <c:autoTitleDeleted val="1"/>
    <c:plotArea>
      <c:layout/>
      <c:pieChart>
        <c:varyColors val="1"/>
        <c:ser>
          <c:idx val="0"/>
          <c:order val="0"/>
          <c:tx>
            <c:strRef>
              <c:f>Sheet1!$B$1</c:f>
              <c:strCache>
                <c:ptCount val="1"/>
                <c:pt idx="0">
                  <c:v>未就业类别</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准备公务员或其他考试</c:v>
                </c:pt>
                <c:pt idx="1">
                  <c:v>转换工作</c:v>
                </c:pt>
                <c:pt idx="2">
                  <c:v>没找到合适工作</c:v>
                </c:pt>
                <c:pt idx="3">
                  <c:v>就业困难</c:v>
                </c:pt>
              </c:strCache>
            </c:strRef>
          </c:cat>
          <c:val>
            <c:numRef>
              <c:f>Sheet1!$B$2:$B$5</c:f>
              <c:numCache>
                <c:formatCode>General</c:formatCode>
                <c:ptCount val="4"/>
                <c:pt idx="0">
                  <c:v>12</c:v>
                </c:pt>
                <c:pt idx="1">
                  <c:v>34</c:v>
                </c:pt>
                <c:pt idx="2">
                  <c:v>8</c:v>
                </c:pt>
                <c:pt idx="3">
                  <c:v>2</c:v>
                </c:pt>
              </c:numCache>
            </c:numRef>
          </c:val>
          <c:extLst xmlns:c16r2="http://schemas.microsoft.com/office/drawing/2015/06/chart">
            <c:ext xmlns:c16="http://schemas.microsoft.com/office/drawing/2014/chart" uri="{C3380CC4-5D6E-409C-BE32-E72D297353CC}">
              <c16:uniqueId val="{00000000-D4F1-4CBB-8D9F-78472AD027F6}"/>
            </c:ext>
          </c:extLst>
        </c:ser>
        <c:dLbls>
          <c:showPercent val="1"/>
        </c:dLbls>
        <c:firstSliceAng val="0"/>
      </c:pieChart>
    </c:plotArea>
    <c:legend>
      <c:legendPos val="t"/>
    </c:legend>
    <c:plotVisOnly val="1"/>
    <c:dispBlanksAs val="zero"/>
  </c:chart>
  <c:spPr>
    <a:solidFill>
      <a:schemeClr val="bg1">
        <a:lumMod val="65000"/>
      </a:schemeClr>
    </a:solidFill>
  </c:spPr>
  <c:txPr>
    <a:bodyPr/>
    <a:lstStyle/>
    <a:p>
      <a:pPr>
        <a:defRPr sz="900"/>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86AF-3393-43F4-837A-08B9EEB0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1481</Words>
  <Characters>8443</Characters>
  <Application>Microsoft Office Word</Application>
  <DocSecurity>0</DocSecurity>
  <Lines>70</Lines>
  <Paragraphs>19</Paragraphs>
  <ScaleCrop>false</ScaleCrop>
  <Company>cqjzc</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 yue</dc:creator>
  <cp:lastModifiedBy>胡苏姝</cp:lastModifiedBy>
  <cp:revision>51</cp:revision>
  <dcterms:created xsi:type="dcterms:W3CDTF">2020-01-07T07:52:00Z</dcterms:created>
  <dcterms:modified xsi:type="dcterms:W3CDTF">2020-01-13T08:19:00Z</dcterms:modified>
</cp:coreProperties>
</file>